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F0E3" w14:textId="58A25C99" w:rsidR="00CB3A67" w:rsidRDefault="00CB3A67" w:rsidP="00CB3A67">
      <w:pPr>
        <w:pStyle w:val="CRCoverPage"/>
        <w:tabs>
          <w:tab w:val="right" w:pos="9639"/>
        </w:tabs>
        <w:spacing w:after="0"/>
        <w:rPr>
          <w:b/>
          <w:i/>
          <w:noProof/>
          <w:sz w:val="28"/>
        </w:rPr>
      </w:pPr>
      <w:bookmarkStart w:id="0" w:name="_Ref452454252"/>
      <w:bookmarkStart w:id="1" w:name="_Hlk54275161"/>
      <w:bookmarkStart w:id="2" w:name="_Hlk114583513"/>
      <w:bookmarkEnd w:id="0"/>
      <w:bookmarkEnd w:id="1"/>
      <w:r>
        <w:rPr>
          <w:b/>
          <w:noProof/>
          <w:sz w:val="24"/>
        </w:rPr>
        <w:t>3GPP TSG-</w:t>
      </w:r>
      <w:r w:rsidR="00B75A5C">
        <w:fldChar w:fldCharType="begin"/>
      </w:r>
      <w:r w:rsidR="00B75A5C">
        <w:instrText xml:space="preserve"> DOCPROPERTY  TSG/WGRef  \* MERGEFORMAT </w:instrText>
      </w:r>
      <w:r w:rsidR="00B75A5C">
        <w:fldChar w:fldCharType="separate"/>
      </w:r>
      <w:r>
        <w:rPr>
          <w:b/>
          <w:noProof/>
          <w:sz w:val="24"/>
        </w:rPr>
        <w:t>RAN WG2</w:t>
      </w:r>
      <w:r w:rsidR="00B75A5C">
        <w:rPr>
          <w:b/>
          <w:noProof/>
          <w:sz w:val="24"/>
        </w:rPr>
        <w:fldChar w:fldCharType="end"/>
      </w:r>
      <w:r>
        <w:rPr>
          <w:b/>
          <w:noProof/>
          <w:sz w:val="24"/>
        </w:rPr>
        <w:t xml:space="preserve"> Meeting #121</w:t>
      </w:r>
      <w:r>
        <w:rPr>
          <w:b/>
          <w:i/>
          <w:noProof/>
          <w:sz w:val="28"/>
        </w:rPr>
        <w:tab/>
      </w:r>
      <w:r w:rsidR="004D1DBC" w:rsidRPr="004D1DBC">
        <w:rPr>
          <w:b/>
          <w:bCs/>
          <w:sz w:val="24"/>
          <w:szCs w:val="24"/>
        </w:rPr>
        <w:t>R2-2300523</w:t>
      </w:r>
    </w:p>
    <w:p w14:paraId="2CCE2921" w14:textId="77777777" w:rsidR="00CB3A67" w:rsidRDefault="00CB3A67" w:rsidP="00CB3A67">
      <w:pPr>
        <w:pStyle w:val="CRCoverPage"/>
        <w:outlineLvl w:val="0"/>
        <w:rPr>
          <w:b/>
          <w:noProof/>
          <w:sz w:val="24"/>
        </w:rPr>
      </w:pPr>
      <w:r w:rsidRPr="00304A24">
        <w:rPr>
          <w:rFonts w:cs="Arial"/>
          <w:b/>
          <w:color w:val="000000"/>
          <w:kern w:val="2"/>
          <w:sz w:val="24"/>
        </w:rPr>
        <w:t>Athens, Greece, 27th February – 3rd March 2023</w:t>
      </w:r>
    </w:p>
    <w:bookmarkEnd w:id="2"/>
    <w:p w14:paraId="252563D4" w14:textId="77777777" w:rsidR="00E90E49" w:rsidRPr="00CE0424" w:rsidRDefault="00E90E49" w:rsidP="00357380">
      <w:pPr>
        <w:pStyle w:val="3GPPHeader"/>
      </w:pPr>
    </w:p>
    <w:p w14:paraId="267378A2" w14:textId="724E43D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B25721" w:rsidRPr="00B25721">
        <w:rPr>
          <w:sz w:val="22"/>
          <w:szCs w:val="22"/>
        </w:rPr>
        <w:t>8.10.2</w:t>
      </w:r>
      <w:r w:rsidR="00B25721">
        <w:rPr>
          <w:sz w:val="22"/>
          <w:szCs w:val="22"/>
        </w:rPr>
        <w:t xml:space="preserve"> </w:t>
      </w:r>
      <w:r w:rsidR="00B25721" w:rsidRPr="00B25721">
        <w:rPr>
          <w:sz w:val="22"/>
          <w:szCs w:val="22"/>
        </w:rPr>
        <w:t>FDM solution enhancements</w:t>
      </w:r>
    </w:p>
    <w:p w14:paraId="36E7B6AB" w14:textId="77777777" w:rsidR="00E90E49" w:rsidRPr="009D484E" w:rsidRDefault="003D3C45" w:rsidP="00F64C2B">
      <w:pPr>
        <w:pStyle w:val="3GPPHeader"/>
        <w:rPr>
          <w:sz w:val="22"/>
          <w:szCs w:val="22"/>
        </w:rPr>
      </w:pPr>
      <w:r w:rsidRPr="009D484E">
        <w:rPr>
          <w:sz w:val="22"/>
          <w:szCs w:val="22"/>
        </w:rPr>
        <w:t>Source:</w:t>
      </w:r>
      <w:r w:rsidR="00E90E49" w:rsidRPr="009D484E">
        <w:rPr>
          <w:sz w:val="22"/>
          <w:szCs w:val="22"/>
        </w:rPr>
        <w:tab/>
      </w:r>
      <w:r w:rsidR="00F64C2B" w:rsidRPr="009D484E">
        <w:rPr>
          <w:sz w:val="22"/>
          <w:szCs w:val="22"/>
        </w:rPr>
        <w:t>Ericsson</w:t>
      </w:r>
    </w:p>
    <w:p w14:paraId="72579376" w14:textId="678E3F28" w:rsidR="00E90E49" w:rsidRPr="009D484E" w:rsidRDefault="003D3C45" w:rsidP="00311702">
      <w:pPr>
        <w:pStyle w:val="3GPPHeader"/>
        <w:rPr>
          <w:sz w:val="22"/>
          <w:szCs w:val="22"/>
        </w:rPr>
      </w:pPr>
      <w:r w:rsidRPr="009D484E">
        <w:rPr>
          <w:sz w:val="22"/>
          <w:szCs w:val="22"/>
        </w:rPr>
        <w:t>Title:</w:t>
      </w:r>
      <w:r w:rsidR="00E90E49" w:rsidRPr="009D484E">
        <w:rPr>
          <w:sz w:val="22"/>
          <w:szCs w:val="22"/>
        </w:rPr>
        <w:tab/>
      </w:r>
      <w:r w:rsidR="00031B1E">
        <w:rPr>
          <w:sz w:val="22"/>
          <w:szCs w:val="22"/>
        </w:rPr>
        <w:t>IDC configuration and report in MR-DC</w:t>
      </w:r>
    </w:p>
    <w:p w14:paraId="24C111CD" w14:textId="77777777" w:rsidR="00E90E49" w:rsidRPr="009D484E" w:rsidRDefault="00E90E49" w:rsidP="00D546FF">
      <w:pPr>
        <w:pStyle w:val="3GPPHeader"/>
        <w:rPr>
          <w:sz w:val="22"/>
          <w:szCs w:val="22"/>
        </w:rPr>
      </w:pPr>
      <w:r w:rsidRPr="009D484E">
        <w:rPr>
          <w:sz w:val="22"/>
          <w:szCs w:val="22"/>
        </w:rPr>
        <w:t>Document for:</w:t>
      </w:r>
      <w:r w:rsidRPr="009D484E">
        <w:rPr>
          <w:sz w:val="22"/>
          <w:szCs w:val="22"/>
        </w:rPr>
        <w:tab/>
        <w:t>Discussion, Decision</w:t>
      </w:r>
    </w:p>
    <w:p w14:paraId="1DD4A9BC" w14:textId="77777777" w:rsidR="00E90E49" w:rsidRPr="009D484E" w:rsidRDefault="00E90E49" w:rsidP="00E90E49"/>
    <w:p w14:paraId="028056FC" w14:textId="1BC5561E" w:rsidR="00E90E49" w:rsidRDefault="00230D18" w:rsidP="00CE0424">
      <w:pPr>
        <w:pStyle w:val="Heading1"/>
      </w:pPr>
      <w:r w:rsidRPr="009D484E">
        <w:t>1</w:t>
      </w:r>
      <w:r w:rsidRPr="009D484E">
        <w:tab/>
      </w:r>
      <w:r w:rsidR="00E90E49" w:rsidRPr="009D484E">
        <w:t>Introduction</w:t>
      </w:r>
    </w:p>
    <w:p w14:paraId="22DAFAA6" w14:textId="388D8A45" w:rsidR="00210854" w:rsidRDefault="00EA2EA9" w:rsidP="003267B7">
      <w:pPr>
        <w:rPr>
          <w:rFonts w:ascii="Arial" w:hAnsi="Arial"/>
          <w:lang w:eastAsia="zh-CN"/>
        </w:rPr>
      </w:pPr>
      <w:r>
        <w:rPr>
          <w:rFonts w:ascii="Arial" w:hAnsi="Arial"/>
          <w:lang w:eastAsia="zh-CN"/>
        </w:rPr>
        <w:t>In [1], companies have expressed their view on whether coordination between MN and SN is needed for MR-DC.</w:t>
      </w:r>
      <w:r w:rsidR="006E2ECE">
        <w:rPr>
          <w:rFonts w:ascii="Arial" w:hAnsi="Arial"/>
          <w:lang w:eastAsia="zh-CN"/>
        </w:rPr>
        <w:t xml:space="preserve"> </w:t>
      </w:r>
      <w:r w:rsidR="003D3DC5">
        <w:rPr>
          <w:rFonts w:ascii="Arial" w:hAnsi="Arial"/>
          <w:lang w:eastAsia="zh-CN"/>
        </w:rPr>
        <w:t xml:space="preserve">This issue is relevant to both </w:t>
      </w:r>
      <w:r w:rsidR="00D23A7C">
        <w:rPr>
          <w:rFonts w:ascii="Arial" w:hAnsi="Arial"/>
          <w:lang w:eastAsia="zh-CN"/>
        </w:rPr>
        <w:t xml:space="preserve">a </w:t>
      </w:r>
      <w:r w:rsidR="003D3DC5">
        <w:rPr>
          <w:rFonts w:ascii="Arial" w:hAnsi="Arial"/>
          <w:lang w:eastAsia="zh-CN"/>
        </w:rPr>
        <w:t xml:space="preserve">FDM </w:t>
      </w:r>
      <w:r w:rsidR="0071673D">
        <w:rPr>
          <w:rFonts w:ascii="Arial" w:hAnsi="Arial"/>
          <w:lang w:eastAsia="zh-CN"/>
        </w:rPr>
        <w:t xml:space="preserve">solution and </w:t>
      </w:r>
      <w:r w:rsidR="0064615C">
        <w:rPr>
          <w:rFonts w:ascii="Arial" w:hAnsi="Arial"/>
          <w:lang w:eastAsia="zh-CN"/>
        </w:rPr>
        <w:t xml:space="preserve">a </w:t>
      </w:r>
      <w:r w:rsidR="0071673D">
        <w:rPr>
          <w:rFonts w:ascii="Arial" w:hAnsi="Arial"/>
          <w:lang w:eastAsia="zh-CN"/>
        </w:rPr>
        <w:t>TDM solution</w:t>
      </w:r>
      <w:r w:rsidR="003C7A69">
        <w:rPr>
          <w:rFonts w:ascii="Arial" w:hAnsi="Arial"/>
          <w:lang w:eastAsia="zh-CN"/>
        </w:rPr>
        <w:t xml:space="preserve"> f</w:t>
      </w:r>
      <w:r w:rsidR="00E927FD">
        <w:rPr>
          <w:rFonts w:ascii="Arial" w:hAnsi="Arial"/>
          <w:lang w:eastAsia="zh-CN"/>
        </w:rPr>
        <w:t>or IDC in NR Rel-18</w:t>
      </w:r>
      <w:r w:rsidR="007704B4">
        <w:rPr>
          <w:rFonts w:ascii="Arial" w:hAnsi="Arial"/>
          <w:lang w:eastAsia="zh-CN"/>
        </w:rPr>
        <w:t xml:space="preserve"> </w:t>
      </w:r>
      <w:r w:rsidR="003C7A69">
        <w:rPr>
          <w:rFonts w:ascii="Arial" w:hAnsi="Arial"/>
          <w:lang w:eastAsia="zh-CN"/>
        </w:rPr>
        <w:t>in</w:t>
      </w:r>
      <w:r w:rsidR="00041ECA">
        <w:rPr>
          <w:rFonts w:ascii="Arial" w:hAnsi="Arial"/>
          <w:lang w:eastAsia="zh-CN"/>
        </w:rPr>
        <w:t xml:space="preserve"> this document we</w:t>
      </w:r>
      <w:r w:rsidR="003C7A69">
        <w:rPr>
          <w:rFonts w:ascii="Arial" w:hAnsi="Arial"/>
          <w:lang w:eastAsia="zh-CN"/>
        </w:rPr>
        <w:t xml:space="preserve"> </w:t>
      </w:r>
      <w:r w:rsidR="007704B4">
        <w:rPr>
          <w:rFonts w:ascii="Arial" w:hAnsi="Arial"/>
          <w:lang w:eastAsia="zh-CN"/>
        </w:rPr>
        <w:t xml:space="preserve">further </w:t>
      </w:r>
      <w:r w:rsidR="003D3DC5">
        <w:rPr>
          <w:rFonts w:ascii="Arial" w:hAnsi="Arial"/>
          <w:lang w:eastAsia="zh-CN"/>
        </w:rPr>
        <w:t xml:space="preserve">details </w:t>
      </w:r>
      <w:r w:rsidR="00041ECA">
        <w:rPr>
          <w:rFonts w:ascii="Arial" w:hAnsi="Arial"/>
          <w:lang w:eastAsia="zh-CN"/>
        </w:rPr>
        <w:t xml:space="preserve">on </w:t>
      </w:r>
      <w:r w:rsidR="003D3DC5">
        <w:rPr>
          <w:rFonts w:ascii="Arial" w:hAnsi="Arial"/>
          <w:lang w:eastAsia="zh-CN"/>
        </w:rPr>
        <w:t xml:space="preserve">this </w:t>
      </w:r>
      <w:r w:rsidR="00041ECA">
        <w:rPr>
          <w:rFonts w:ascii="Arial" w:hAnsi="Arial"/>
          <w:lang w:eastAsia="zh-CN"/>
        </w:rPr>
        <w:t>topic</w:t>
      </w:r>
      <w:r w:rsidR="003D3DC5">
        <w:rPr>
          <w:rFonts w:ascii="Arial" w:hAnsi="Arial"/>
          <w:lang w:eastAsia="zh-CN"/>
        </w:rPr>
        <w:t>.</w:t>
      </w:r>
    </w:p>
    <w:p w14:paraId="4099B8AE" w14:textId="0EED042A" w:rsidR="00B25721" w:rsidRDefault="00230D18" w:rsidP="00B25721">
      <w:pPr>
        <w:pStyle w:val="Heading1"/>
      </w:pPr>
      <w:bookmarkStart w:id="3" w:name="_Ref178064866"/>
      <w:r>
        <w:t>2</w:t>
      </w:r>
      <w:r>
        <w:tab/>
      </w:r>
      <w:r w:rsidR="004000E8" w:rsidRPr="00CE0424">
        <w:t>Discussion</w:t>
      </w:r>
      <w:bookmarkEnd w:id="3"/>
    </w:p>
    <w:p w14:paraId="3FCBCCB3" w14:textId="21800AF0" w:rsidR="006B15D8" w:rsidRDefault="005C3297" w:rsidP="006B15D8">
      <w:pPr>
        <w:rPr>
          <w:rFonts w:ascii="Arial" w:hAnsi="Arial" w:cs="Arial"/>
        </w:rPr>
      </w:pPr>
      <w:r>
        <w:rPr>
          <w:rFonts w:ascii="Arial" w:hAnsi="Arial" w:cs="Arial"/>
        </w:rPr>
        <w:t>As described in [1], f</w:t>
      </w:r>
      <w:r w:rsidR="006B15D8">
        <w:rPr>
          <w:rFonts w:ascii="Arial" w:hAnsi="Arial" w:cs="Arial"/>
        </w:rPr>
        <w:t xml:space="preserve">or the MR-DC scenarios there can be two cases that we need to consider </w:t>
      </w:r>
    </w:p>
    <w:p w14:paraId="0878BB15" w14:textId="77777777" w:rsidR="006B15D8" w:rsidRDefault="006B15D8" w:rsidP="006B15D8">
      <w:pPr>
        <w:ind w:left="284"/>
        <w:rPr>
          <w:rFonts w:ascii="Arial" w:hAnsi="Arial" w:cs="Arial"/>
        </w:rPr>
      </w:pPr>
      <w:r>
        <w:rPr>
          <w:rFonts w:ascii="Arial" w:hAnsi="Arial" w:cs="Arial"/>
        </w:rPr>
        <w:t>Case 1 – Individual candidate frequencies are affected by the IDC issue</w:t>
      </w:r>
    </w:p>
    <w:p w14:paraId="1AADD61E" w14:textId="77777777" w:rsidR="006B15D8" w:rsidRDefault="006B15D8" w:rsidP="006B15D8">
      <w:pPr>
        <w:ind w:left="284"/>
        <w:rPr>
          <w:rFonts w:ascii="Arial" w:hAnsi="Arial" w:cs="Arial"/>
        </w:rPr>
      </w:pPr>
      <w:r>
        <w:rPr>
          <w:rFonts w:ascii="Arial" w:hAnsi="Arial" w:cs="Arial"/>
        </w:rPr>
        <w:t>Case 2 – Combination of frequencies are affected by the IDC issue</w:t>
      </w:r>
    </w:p>
    <w:p w14:paraId="19FC0D4D" w14:textId="77777777" w:rsidR="006B15D8" w:rsidRDefault="006B15D8" w:rsidP="006B15D8">
      <w:pPr>
        <w:rPr>
          <w:rFonts w:ascii="Arial" w:hAnsi="Arial" w:cs="Arial"/>
        </w:rPr>
      </w:pPr>
      <w:r>
        <w:rPr>
          <w:rFonts w:ascii="Arial" w:hAnsi="Arial" w:cs="Arial"/>
        </w:rPr>
        <w:t xml:space="preserve">For these two cases there can be two options in terms of which node configures the UE with the candidate serving frequency range list. </w:t>
      </w:r>
    </w:p>
    <w:p w14:paraId="7596F2A0" w14:textId="004B7D98" w:rsidR="006B15D8" w:rsidRDefault="006B15D8" w:rsidP="006B15D8">
      <w:pPr>
        <w:ind w:left="284"/>
        <w:rPr>
          <w:rFonts w:ascii="Arial" w:hAnsi="Arial" w:cs="Arial"/>
        </w:rPr>
      </w:pPr>
      <w:r>
        <w:rPr>
          <w:rFonts w:ascii="Arial" w:hAnsi="Arial" w:cs="Arial"/>
        </w:rPr>
        <w:t>Option 1 – Only MN Configures the UE with the candidate serving frequency range list for reporting</w:t>
      </w:r>
      <w:r w:rsidR="001D59EF">
        <w:rPr>
          <w:rFonts w:ascii="Arial" w:hAnsi="Arial" w:cs="Arial"/>
        </w:rPr>
        <w:t xml:space="preserve"> which would contain both MN and SN candidate frequencies.</w:t>
      </w:r>
    </w:p>
    <w:p w14:paraId="3AE6D20C" w14:textId="28FE3CCE" w:rsidR="006B15D8" w:rsidRDefault="006B15D8" w:rsidP="006B15D8">
      <w:pPr>
        <w:ind w:left="284"/>
        <w:rPr>
          <w:rFonts w:ascii="Arial" w:hAnsi="Arial" w:cs="Arial"/>
        </w:rPr>
      </w:pPr>
      <w:r>
        <w:rPr>
          <w:rFonts w:ascii="Arial" w:hAnsi="Arial" w:cs="Arial"/>
        </w:rPr>
        <w:t>Option 2 – Both MN and SN can configure the UE with the candidate serving frequency range list for reporting</w:t>
      </w:r>
      <w:r w:rsidR="001D59EF">
        <w:rPr>
          <w:rFonts w:ascii="Arial" w:hAnsi="Arial" w:cs="Arial"/>
        </w:rPr>
        <w:t>, where MN configures the MN candidate frequencies and SN configures the SN candidate frequencies.</w:t>
      </w:r>
    </w:p>
    <w:p w14:paraId="66C23B2C" w14:textId="77777777" w:rsidR="006B15D8" w:rsidRPr="006B15D8" w:rsidRDefault="006B15D8" w:rsidP="005C3297">
      <w:pPr>
        <w:rPr>
          <w:lang w:eastAsia="zh-CN"/>
        </w:rPr>
      </w:pPr>
    </w:p>
    <w:p w14:paraId="00DB5126" w14:textId="7AA2AABF" w:rsidR="008E7A3C" w:rsidRDefault="008E7A3C" w:rsidP="008E7A3C">
      <w:pPr>
        <w:spacing w:after="0"/>
        <w:rPr>
          <w:rFonts w:ascii="Arial" w:hAnsi="Arial" w:cs="Arial"/>
        </w:rPr>
      </w:pPr>
      <w:r w:rsidRPr="008E7A3C">
        <w:rPr>
          <w:rFonts w:ascii="Arial" w:hAnsi="Arial" w:cs="Arial"/>
          <w:lang w:eastAsia="zh-CN"/>
        </w:rPr>
        <w:t xml:space="preserve">Whether enhancements need to be introduced for MR-DC has been also discussed in [1]. In our view, </w:t>
      </w:r>
      <w:r w:rsidRPr="008E7A3C">
        <w:rPr>
          <w:rFonts w:ascii="Arial" w:hAnsi="Arial" w:cs="Arial"/>
        </w:rPr>
        <w:t>it is beneficial to let UE to only report IDC to the affected node, which will address the issue</w:t>
      </w:r>
      <w:r w:rsidRPr="009B63B2">
        <w:rPr>
          <w:rFonts w:ascii="Arial" w:hAnsi="Arial" w:cs="Arial"/>
        </w:rPr>
        <w:t>. Therefore, beneficial to allow SN to configure IDC on frequency regions which only affects SCG. Then, UE can report IDC on frequency regions which only affects SCG to SN.</w:t>
      </w:r>
    </w:p>
    <w:p w14:paraId="0B39EB5F" w14:textId="77777777" w:rsidR="001A53BB" w:rsidRPr="009B63B2" w:rsidRDefault="001A53BB" w:rsidP="008E7A3C">
      <w:pPr>
        <w:spacing w:after="0"/>
        <w:rPr>
          <w:rFonts w:ascii="Arial" w:hAnsi="Arial" w:cs="Arial"/>
        </w:rPr>
      </w:pPr>
    </w:p>
    <w:p w14:paraId="0BEF3CF0" w14:textId="5DE78EFB" w:rsidR="00F05861" w:rsidRDefault="008E7A3C" w:rsidP="008E7A3C">
      <w:pPr>
        <w:rPr>
          <w:rFonts w:ascii="Arial" w:hAnsi="Arial" w:cs="Arial"/>
        </w:rPr>
      </w:pPr>
      <w:r w:rsidRPr="009B63B2">
        <w:rPr>
          <w:rFonts w:ascii="Arial" w:hAnsi="Arial" w:cs="Arial"/>
        </w:rPr>
        <w:t xml:space="preserve">In addition, we think it is sufficient that MN only configures IDC on frequency regions which only affects MCG. In this way, we can avoid MN and SN to coordinate for </w:t>
      </w:r>
      <w:r w:rsidRPr="008E7A3C">
        <w:rPr>
          <w:rFonts w:ascii="Arial" w:hAnsi="Arial" w:cs="Arial"/>
        </w:rPr>
        <w:t>configuring the UE for IDC</w:t>
      </w:r>
      <w:r w:rsidR="00827C1A">
        <w:rPr>
          <w:rFonts w:ascii="Arial" w:hAnsi="Arial" w:cs="Arial"/>
        </w:rPr>
        <w:t>, which would add additional design complexity</w:t>
      </w:r>
      <w:r w:rsidRPr="008E7A3C">
        <w:rPr>
          <w:rFonts w:ascii="Arial" w:hAnsi="Arial" w:cs="Arial"/>
        </w:rPr>
        <w:t xml:space="preserve">. </w:t>
      </w:r>
    </w:p>
    <w:p w14:paraId="2BBAE57F" w14:textId="37434E7B" w:rsidR="007E621B" w:rsidRPr="00CA0D1F" w:rsidRDefault="007E621B" w:rsidP="007E621B">
      <w:pPr>
        <w:pStyle w:val="Observation"/>
        <w:tabs>
          <w:tab w:val="num" w:pos="3554"/>
        </w:tabs>
      </w:pPr>
      <w:bookmarkStart w:id="4" w:name="_Toc127439780"/>
      <w:r>
        <w:rPr>
          <w:rFonts w:cs="Arial"/>
          <w:lang w:val="en-US"/>
        </w:rPr>
        <w:t xml:space="preserve">It is beneficial to avoid </w:t>
      </w:r>
      <w:r w:rsidRPr="009B63B2">
        <w:rPr>
          <w:rFonts w:cs="Arial"/>
        </w:rPr>
        <w:t xml:space="preserve">MN and SN to coordinate for </w:t>
      </w:r>
      <w:r w:rsidRPr="008E7A3C">
        <w:rPr>
          <w:rFonts w:cs="Arial"/>
        </w:rPr>
        <w:t>configuring the UE for IDC</w:t>
      </w:r>
      <w:r>
        <w:rPr>
          <w:rFonts w:cs="Arial"/>
        </w:rPr>
        <w:t>, which would add additional design complexity</w:t>
      </w:r>
      <w:r w:rsidRPr="103D0151">
        <w:rPr>
          <w:rFonts w:cs="Arial"/>
          <w:lang w:val="en-US"/>
        </w:rPr>
        <w:t>.</w:t>
      </w:r>
      <w:bookmarkEnd w:id="4"/>
      <w:r w:rsidRPr="103D0151">
        <w:rPr>
          <w:rFonts w:cs="Arial"/>
        </w:rPr>
        <w:t xml:space="preserve"> </w:t>
      </w:r>
    </w:p>
    <w:p w14:paraId="24EB2C26" w14:textId="77777777" w:rsidR="00F05861" w:rsidRDefault="00F05861" w:rsidP="008E7A3C">
      <w:pPr>
        <w:rPr>
          <w:rFonts w:ascii="Arial" w:hAnsi="Arial" w:cs="Arial"/>
        </w:rPr>
      </w:pPr>
    </w:p>
    <w:p w14:paraId="125345D4" w14:textId="3B9AD8A3" w:rsidR="00016E86" w:rsidRDefault="001F06FE" w:rsidP="008E7A3C">
      <w:pPr>
        <w:rPr>
          <w:rFonts w:ascii="Arial" w:hAnsi="Arial" w:cs="Arial"/>
          <w:lang w:eastAsia="sv-SE"/>
        </w:rPr>
      </w:pPr>
      <w:r w:rsidRPr="00751F91">
        <w:rPr>
          <w:rFonts w:ascii="Arial" w:hAnsi="Arial" w:cs="Arial"/>
        </w:rPr>
        <w:t xml:space="preserve">Given for EN-DC, it was already supported that SN can indicate </w:t>
      </w:r>
      <w:r w:rsidR="00751F91" w:rsidRPr="00751F91">
        <w:rPr>
          <w:rFonts w:ascii="Arial" w:hAnsi="Arial" w:cs="Arial"/>
        </w:rPr>
        <w:t xml:space="preserve">its </w:t>
      </w:r>
      <w:r w:rsidR="00C24BC5" w:rsidRPr="00DB146E">
        <w:rPr>
          <w:rFonts w:ascii="Arial" w:hAnsi="Arial" w:cs="Arial"/>
          <w:lang w:eastAsia="sv-SE"/>
        </w:rPr>
        <w:t>frequencies of candidate serving cells</w:t>
      </w:r>
      <w:r w:rsidR="00751F91">
        <w:rPr>
          <w:rFonts w:ascii="Arial" w:hAnsi="Arial" w:cs="Arial"/>
          <w:lang w:eastAsia="sv-SE"/>
        </w:rPr>
        <w:t xml:space="preserve"> to MN via </w:t>
      </w:r>
      <w:proofErr w:type="spellStart"/>
      <w:r w:rsidR="00194387" w:rsidRPr="007F1F26">
        <w:rPr>
          <w:rFonts w:ascii="Arial" w:hAnsi="Arial" w:cs="Arial"/>
          <w:i/>
          <w:iCs/>
          <w:lang w:val="en-US" w:eastAsia="en-US"/>
        </w:rPr>
        <w:t>candidateServingFreqListNR</w:t>
      </w:r>
      <w:proofErr w:type="spellEnd"/>
      <w:r w:rsidR="00194387" w:rsidRPr="00DB146E">
        <w:rPr>
          <w:rFonts w:ascii="Arial" w:hAnsi="Arial" w:cs="Arial"/>
          <w:i/>
          <w:iCs/>
          <w:lang w:eastAsia="sv-SE"/>
        </w:rPr>
        <w:t xml:space="preserve"> </w:t>
      </w:r>
      <w:r w:rsidR="00194387" w:rsidRPr="0057323F">
        <w:rPr>
          <w:rFonts w:ascii="Arial" w:hAnsi="Arial" w:cs="Arial"/>
          <w:lang w:eastAsia="sv-SE"/>
        </w:rPr>
        <w:t xml:space="preserve">in </w:t>
      </w:r>
      <w:r w:rsidR="00795D0A" w:rsidRPr="0057323F">
        <w:rPr>
          <w:rFonts w:ascii="Arial" w:hAnsi="Arial" w:cs="Arial"/>
          <w:lang w:eastAsia="sv-SE"/>
        </w:rPr>
        <w:t>CG-Config</w:t>
      </w:r>
      <w:r w:rsidR="00795D0A">
        <w:rPr>
          <w:rFonts w:ascii="Arial" w:hAnsi="Arial" w:cs="Arial"/>
          <w:lang w:eastAsia="sv-SE"/>
        </w:rPr>
        <w:t xml:space="preserve">. Meanwhile, upon reception of the </w:t>
      </w:r>
      <w:r w:rsidR="006C6022">
        <w:rPr>
          <w:rFonts w:ascii="Arial" w:hAnsi="Arial" w:cs="Arial"/>
          <w:lang w:eastAsia="sv-SE"/>
        </w:rPr>
        <w:t>IDC assistance informa</w:t>
      </w:r>
      <w:r w:rsidR="00DA36A5">
        <w:rPr>
          <w:rFonts w:ascii="Arial" w:hAnsi="Arial" w:cs="Arial"/>
          <w:lang w:eastAsia="sv-SE"/>
        </w:rPr>
        <w:t>tion from UE, MN can forward the IDC assistance information to SN</w:t>
      </w:r>
      <w:r w:rsidR="00751F91">
        <w:rPr>
          <w:rFonts w:ascii="Arial" w:hAnsi="Arial" w:cs="Arial"/>
          <w:lang w:eastAsia="sv-SE"/>
        </w:rPr>
        <w:t xml:space="preserve"> </w:t>
      </w:r>
      <w:r w:rsidR="00DA36A5">
        <w:rPr>
          <w:rFonts w:ascii="Arial" w:hAnsi="Arial" w:cs="Arial"/>
          <w:lang w:eastAsia="sv-SE"/>
        </w:rPr>
        <w:t>via</w:t>
      </w:r>
      <w:r w:rsidR="00194387" w:rsidRPr="00194387">
        <w:rPr>
          <w:rFonts w:ascii="Arial" w:hAnsi="Arial" w:cs="Arial"/>
          <w:i/>
          <w:iCs/>
          <w:color w:val="FF0000"/>
          <w:lang w:val="en-US" w:eastAsia="en-US"/>
        </w:rPr>
        <w:t xml:space="preserve"> </w:t>
      </w:r>
      <w:proofErr w:type="spellStart"/>
      <w:r w:rsidR="00194387" w:rsidRPr="007F1F26">
        <w:rPr>
          <w:rFonts w:ascii="Arial" w:hAnsi="Arial" w:cs="Arial"/>
          <w:i/>
          <w:iCs/>
          <w:lang w:val="en-US" w:eastAsia="en-US"/>
        </w:rPr>
        <w:t>affectedCarrierFreqCombInfoListMRDC</w:t>
      </w:r>
      <w:proofErr w:type="spellEnd"/>
      <w:r w:rsidR="00194387" w:rsidRPr="007F1F26">
        <w:rPr>
          <w:rFonts w:ascii="Arial" w:hAnsi="Arial" w:cs="Arial"/>
          <w:i/>
          <w:iCs/>
          <w:lang w:val="en-US" w:eastAsia="en-US"/>
        </w:rPr>
        <w:t xml:space="preserve"> </w:t>
      </w:r>
      <w:r w:rsidR="00194387" w:rsidRPr="007F1F26">
        <w:rPr>
          <w:rFonts w:ascii="Arial" w:hAnsi="Arial" w:cs="Arial"/>
          <w:lang w:val="en-US" w:eastAsia="en-US"/>
        </w:rPr>
        <w:t>in</w:t>
      </w:r>
      <w:r w:rsidR="00DA36A5" w:rsidRPr="007F1F26">
        <w:rPr>
          <w:rFonts w:ascii="Arial" w:hAnsi="Arial" w:cs="Arial"/>
          <w:lang w:eastAsia="sv-SE"/>
        </w:rPr>
        <w:t xml:space="preserve"> </w:t>
      </w:r>
      <w:r w:rsidR="00DA36A5" w:rsidRPr="004C7C4C">
        <w:rPr>
          <w:rFonts w:ascii="Arial" w:hAnsi="Arial" w:cs="Arial"/>
          <w:i/>
          <w:iCs/>
          <w:lang w:eastAsia="sv-SE"/>
        </w:rPr>
        <w:t>CG-</w:t>
      </w:r>
      <w:proofErr w:type="spellStart"/>
      <w:r w:rsidR="00DA36A5" w:rsidRPr="004C7C4C">
        <w:rPr>
          <w:rFonts w:ascii="Arial" w:hAnsi="Arial" w:cs="Arial"/>
          <w:i/>
          <w:iCs/>
          <w:lang w:eastAsia="sv-SE"/>
        </w:rPr>
        <w:t>ConfigInfo</w:t>
      </w:r>
      <w:proofErr w:type="spellEnd"/>
      <w:r w:rsidR="00DA36A5">
        <w:rPr>
          <w:rFonts w:ascii="Arial" w:hAnsi="Arial" w:cs="Arial"/>
          <w:lang w:eastAsia="sv-SE"/>
        </w:rPr>
        <w:t>.</w:t>
      </w:r>
      <w:r w:rsidR="00F50859">
        <w:rPr>
          <w:rFonts w:ascii="Arial" w:hAnsi="Arial" w:cs="Arial"/>
          <w:lang w:eastAsia="sv-SE"/>
        </w:rPr>
        <w:t xml:space="preserve"> </w:t>
      </w:r>
      <w:r w:rsidR="00CB0B46">
        <w:rPr>
          <w:rFonts w:ascii="Arial" w:hAnsi="Arial" w:cs="Arial"/>
          <w:lang w:eastAsia="sv-SE"/>
        </w:rPr>
        <w:t xml:space="preserve">Such existing mechanism can be directly </w:t>
      </w:r>
      <w:r w:rsidR="004E4E84">
        <w:rPr>
          <w:rFonts w:ascii="Arial" w:hAnsi="Arial" w:cs="Arial"/>
          <w:lang w:eastAsia="sv-SE"/>
        </w:rPr>
        <w:t>applied for EN-DC without further enhancement.</w:t>
      </w:r>
    </w:p>
    <w:p w14:paraId="113DCE3B" w14:textId="3E298C28" w:rsidR="00EA2FE6" w:rsidRPr="00CA0D1F" w:rsidRDefault="00EA2FE6" w:rsidP="00EA2FE6">
      <w:pPr>
        <w:pStyle w:val="Observation"/>
        <w:tabs>
          <w:tab w:val="num" w:pos="3554"/>
        </w:tabs>
      </w:pPr>
      <w:bookmarkStart w:id="5" w:name="_Toc127439781"/>
      <w:r>
        <w:rPr>
          <w:rFonts w:cs="Arial"/>
        </w:rPr>
        <w:lastRenderedPageBreak/>
        <w:t>There is already coordination</w:t>
      </w:r>
      <w:r w:rsidR="00AF6696">
        <w:rPr>
          <w:rFonts w:cs="Arial"/>
        </w:rPr>
        <w:t xml:space="preserve"> for IDC configuration and </w:t>
      </w:r>
      <w:r w:rsidR="00DA0078">
        <w:rPr>
          <w:rFonts w:cs="Arial"/>
        </w:rPr>
        <w:t>UE IDC report</w:t>
      </w:r>
      <w:r>
        <w:rPr>
          <w:rFonts w:cs="Arial"/>
        </w:rPr>
        <w:t xml:space="preserve"> between MN and SN</w:t>
      </w:r>
      <w:r w:rsidR="00AF6696">
        <w:rPr>
          <w:rFonts w:cs="Arial"/>
        </w:rPr>
        <w:t xml:space="preserve"> for EN-DC</w:t>
      </w:r>
      <w:r w:rsidRPr="103D0151">
        <w:rPr>
          <w:rFonts w:cs="Arial"/>
          <w:lang w:val="en-US"/>
        </w:rPr>
        <w:t>.</w:t>
      </w:r>
      <w:bookmarkEnd w:id="5"/>
      <w:r w:rsidRPr="103D0151">
        <w:rPr>
          <w:rFonts w:cs="Arial"/>
        </w:rPr>
        <w:t xml:space="preserve"> </w:t>
      </w:r>
    </w:p>
    <w:p w14:paraId="7D17D3CC" w14:textId="5FAFF371" w:rsidR="00FF0F88" w:rsidRDefault="00FF0F88" w:rsidP="00FF0F88">
      <w:pPr>
        <w:rPr>
          <w:rFonts w:ascii="Arial" w:hAnsi="Arial" w:cs="Arial"/>
        </w:rPr>
      </w:pPr>
      <w:r>
        <w:rPr>
          <w:rFonts w:ascii="Arial" w:hAnsi="Arial" w:cs="Arial"/>
        </w:rPr>
        <w:t xml:space="preserve">In addition, especially for EN-DC, RAN2 has agreed to not update the LTE spec for enhancing IDC to support more granular IDC indications. This also indicates that further coordination for IDC configuration should be avoided between </w:t>
      </w:r>
      <w:proofErr w:type="spellStart"/>
      <w:r>
        <w:rPr>
          <w:rFonts w:ascii="Arial" w:hAnsi="Arial" w:cs="Arial"/>
        </w:rPr>
        <w:t>eNB</w:t>
      </w:r>
      <w:proofErr w:type="spellEnd"/>
      <w:r>
        <w:rPr>
          <w:rFonts w:ascii="Arial" w:hAnsi="Arial" w:cs="Arial"/>
        </w:rPr>
        <w:t xml:space="preserve"> and gNB.</w:t>
      </w:r>
    </w:p>
    <w:p w14:paraId="1A4EF2CC" w14:textId="6FCB23BB" w:rsidR="001B550E" w:rsidRDefault="0093408D" w:rsidP="008E7A3C">
      <w:pPr>
        <w:rPr>
          <w:rFonts w:ascii="Arial" w:hAnsi="Arial" w:cs="Arial"/>
        </w:rPr>
      </w:pPr>
      <w:r>
        <w:rPr>
          <w:rFonts w:ascii="Arial" w:hAnsi="Arial" w:cs="Arial"/>
        </w:rPr>
        <w:t>Therefore, we make the below proposa</w:t>
      </w:r>
      <w:r w:rsidR="005179CC">
        <w:rPr>
          <w:rFonts w:ascii="Arial" w:hAnsi="Arial" w:cs="Arial"/>
        </w:rPr>
        <w:t>l</w:t>
      </w:r>
    </w:p>
    <w:p w14:paraId="2DBDF27E" w14:textId="2F72241D" w:rsidR="008E7A3C" w:rsidRPr="00EB09A2" w:rsidRDefault="00876C5A" w:rsidP="008E7A3C">
      <w:pPr>
        <w:pStyle w:val="Proposal"/>
      </w:pPr>
      <w:bookmarkStart w:id="6" w:name="_Toc127439776"/>
      <w:r>
        <w:t xml:space="preserve">Further </w:t>
      </w:r>
      <w:r w:rsidR="008235C8">
        <w:t>c</w:t>
      </w:r>
      <w:r w:rsidR="008E7A3C">
        <w:t xml:space="preserve">oordination </w:t>
      </w:r>
      <w:r w:rsidR="009B63B2">
        <w:t xml:space="preserve">between MN and SN </w:t>
      </w:r>
      <w:r w:rsidR="005179CC">
        <w:t>for</w:t>
      </w:r>
      <w:r w:rsidR="008E7A3C" w:rsidRPr="000B147A">
        <w:rPr>
          <w:rFonts w:cs="Arial"/>
        </w:rPr>
        <w:t xml:space="preserve"> IDC configuration </w:t>
      </w:r>
      <w:r w:rsidR="00EB09A2">
        <w:rPr>
          <w:rFonts w:cs="Arial"/>
        </w:rPr>
        <w:t>is not supported</w:t>
      </w:r>
      <w:r>
        <w:rPr>
          <w:rFonts w:cs="Arial"/>
        </w:rPr>
        <w:t xml:space="preserve"> apart from the existing coordination mechanism</w:t>
      </w:r>
      <w:r w:rsidR="00AA02E3">
        <w:rPr>
          <w:rFonts w:cs="Arial"/>
        </w:rPr>
        <w:t xml:space="preserve"> </w:t>
      </w:r>
      <w:r w:rsidR="00AF0827">
        <w:rPr>
          <w:rFonts w:cs="Arial"/>
        </w:rPr>
        <w:t>(</w:t>
      </w:r>
      <w:r w:rsidR="00AF0827" w:rsidRPr="0057323F">
        <w:rPr>
          <w:rFonts w:ascii="Calibri" w:hAnsi="Calibri" w:cs="Calibri"/>
          <w:lang w:val="en-US" w:eastAsia="en-US"/>
        </w:rPr>
        <w:t xml:space="preserve">i.e., </w:t>
      </w:r>
      <w:proofErr w:type="spellStart"/>
      <w:r w:rsidR="00AF0827" w:rsidRPr="0057323F">
        <w:rPr>
          <w:rFonts w:cs="Arial"/>
          <w:i/>
          <w:iCs/>
          <w:lang w:val="en-US" w:eastAsia="en-US"/>
        </w:rPr>
        <w:t>candidateServingFreqListNR</w:t>
      </w:r>
      <w:proofErr w:type="spellEnd"/>
      <w:r w:rsidR="0057323F">
        <w:rPr>
          <w:rFonts w:cs="Arial"/>
          <w:i/>
          <w:iCs/>
          <w:lang w:val="en-US" w:eastAsia="en-US"/>
        </w:rPr>
        <w:t xml:space="preserve"> </w:t>
      </w:r>
      <w:r w:rsidR="0057323F" w:rsidRPr="0057323F">
        <w:rPr>
          <w:rFonts w:cs="Arial"/>
          <w:lang w:eastAsia="sv-SE"/>
        </w:rPr>
        <w:t xml:space="preserve">in </w:t>
      </w:r>
      <w:r w:rsidR="0057323F" w:rsidRPr="0057323F">
        <w:rPr>
          <w:rFonts w:cs="Arial"/>
          <w:i/>
          <w:iCs/>
          <w:lang w:eastAsia="sv-SE"/>
        </w:rPr>
        <w:t>CG-Config</w:t>
      </w:r>
      <w:r>
        <w:rPr>
          <w:rFonts w:cs="Arial"/>
        </w:rPr>
        <w:t xml:space="preserve"> for EN-DC</w:t>
      </w:r>
      <w:r w:rsidR="0057323F">
        <w:rPr>
          <w:rFonts w:cs="Arial"/>
        </w:rPr>
        <w:t>)</w:t>
      </w:r>
      <w:r w:rsidR="00EB09A2">
        <w:rPr>
          <w:rFonts w:cs="Arial"/>
        </w:rPr>
        <w:t>.</w:t>
      </w:r>
      <w:bookmarkEnd w:id="6"/>
    </w:p>
    <w:p w14:paraId="0636EA0E" w14:textId="05F29DF4" w:rsidR="0093408D" w:rsidRPr="008C1328" w:rsidRDefault="0077115C" w:rsidP="008C1328">
      <w:pPr>
        <w:rPr>
          <w:rFonts w:ascii="Arial" w:hAnsi="Arial" w:cs="Arial"/>
        </w:rPr>
      </w:pPr>
      <w:r w:rsidRPr="008C1328">
        <w:rPr>
          <w:rFonts w:ascii="Arial" w:hAnsi="Arial" w:cs="Arial"/>
        </w:rPr>
        <w:t xml:space="preserve">In addition, </w:t>
      </w:r>
      <w:r w:rsidR="008C1328">
        <w:rPr>
          <w:rFonts w:ascii="Arial" w:hAnsi="Arial" w:cs="Arial"/>
        </w:rPr>
        <w:t>b</w:t>
      </w:r>
      <w:r w:rsidR="0093408D" w:rsidRPr="008C1328">
        <w:rPr>
          <w:rFonts w:ascii="Arial" w:hAnsi="Arial" w:cs="Arial"/>
        </w:rPr>
        <w:t xml:space="preserve">ased on the configuration, UE will </w:t>
      </w:r>
      <w:r w:rsidR="00142A80">
        <w:rPr>
          <w:rFonts w:ascii="Arial" w:hAnsi="Arial" w:cs="Arial"/>
        </w:rPr>
        <w:t>only</w:t>
      </w:r>
      <w:r w:rsidR="0093408D" w:rsidRPr="008C1328">
        <w:rPr>
          <w:rFonts w:ascii="Arial" w:hAnsi="Arial" w:cs="Arial"/>
        </w:rPr>
        <w:t xml:space="preserve"> report IDC on M</w:t>
      </w:r>
      <w:r w:rsidR="001D59EF">
        <w:rPr>
          <w:rFonts w:ascii="Arial" w:hAnsi="Arial" w:cs="Arial"/>
        </w:rPr>
        <w:t>N</w:t>
      </w:r>
      <w:r w:rsidR="0093408D" w:rsidRPr="008C1328">
        <w:rPr>
          <w:rFonts w:ascii="Arial" w:hAnsi="Arial" w:cs="Arial"/>
        </w:rPr>
        <w:t xml:space="preserve"> </w:t>
      </w:r>
      <w:r w:rsidR="001D59EF">
        <w:rPr>
          <w:rFonts w:ascii="Arial" w:hAnsi="Arial" w:cs="Arial"/>
        </w:rPr>
        <w:t>configured candidate</w:t>
      </w:r>
      <w:r w:rsidR="0093408D" w:rsidRPr="008C1328">
        <w:rPr>
          <w:rFonts w:ascii="Arial" w:hAnsi="Arial" w:cs="Arial"/>
        </w:rPr>
        <w:t xml:space="preserve"> frequencies to MN, and only report IDC on S</w:t>
      </w:r>
      <w:r w:rsidR="001D59EF">
        <w:rPr>
          <w:rFonts w:ascii="Arial" w:hAnsi="Arial" w:cs="Arial"/>
        </w:rPr>
        <w:t>N</w:t>
      </w:r>
      <w:r w:rsidR="0093408D" w:rsidRPr="008C1328">
        <w:rPr>
          <w:rFonts w:ascii="Arial" w:hAnsi="Arial" w:cs="Arial"/>
        </w:rPr>
        <w:t xml:space="preserve"> </w:t>
      </w:r>
      <w:r w:rsidR="001D59EF">
        <w:rPr>
          <w:rFonts w:ascii="Arial" w:hAnsi="Arial" w:cs="Arial"/>
        </w:rPr>
        <w:t>configured candidate</w:t>
      </w:r>
      <w:r w:rsidR="0093408D" w:rsidRPr="008C1328">
        <w:rPr>
          <w:rFonts w:ascii="Arial" w:hAnsi="Arial" w:cs="Arial"/>
        </w:rPr>
        <w:t xml:space="preserve"> frequencies to SN. </w:t>
      </w:r>
      <w:r w:rsidR="007B7AAC">
        <w:rPr>
          <w:rFonts w:ascii="Arial" w:hAnsi="Arial" w:cs="Arial"/>
        </w:rPr>
        <w:t>In this way, c</w:t>
      </w:r>
      <w:r w:rsidR="0093408D" w:rsidRPr="008C1328">
        <w:rPr>
          <w:rFonts w:ascii="Arial" w:hAnsi="Arial" w:cs="Arial"/>
        </w:rPr>
        <w:t>oordination is</w:t>
      </w:r>
      <w:r w:rsidR="007B7AAC">
        <w:rPr>
          <w:rFonts w:ascii="Arial" w:hAnsi="Arial" w:cs="Arial"/>
        </w:rPr>
        <w:t xml:space="preserve"> also not</w:t>
      </w:r>
      <w:r w:rsidR="0093408D" w:rsidRPr="008C1328">
        <w:rPr>
          <w:rFonts w:ascii="Arial" w:hAnsi="Arial" w:cs="Arial"/>
        </w:rPr>
        <w:t xml:space="preserve"> needed for the UE report.</w:t>
      </w:r>
    </w:p>
    <w:p w14:paraId="3A2E998B" w14:textId="6B00D83B" w:rsidR="007B7AAC" w:rsidRPr="00EB09A2" w:rsidRDefault="008235C8" w:rsidP="007B7AAC">
      <w:pPr>
        <w:pStyle w:val="Proposal"/>
      </w:pPr>
      <w:bookmarkStart w:id="7" w:name="_Toc127439777"/>
      <w:r>
        <w:t>Further c</w:t>
      </w:r>
      <w:r w:rsidR="007B7AAC">
        <w:t>oordination between MN and SN for</w:t>
      </w:r>
      <w:r w:rsidR="007B7AAC" w:rsidRPr="000B147A">
        <w:rPr>
          <w:rFonts w:cs="Arial"/>
        </w:rPr>
        <w:t xml:space="preserve"> </w:t>
      </w:r>
      <w:r w:rsidR="007B7AAC">
        <w:rPr>
          <w:rFonts w:cs="Arial"/>
        </w:rPr>
        <w:t xml:space="preserve">UE </w:t>
      </w:r>
      <w:r w:rsidR="007B7AAC" w:rsidRPr="000B147A">
        <w:rPr>
          <w:rFonts w:cs="Arial"/>
        </w:rPr>
        <w:t xml:space="preserve">IDC </w:t>
      </w:r>
      <w:r w:rsidR="007B7AAC">
        <w:rPr>
          <w:rFonts w:cs="Arial"/>
        </w:rPr>
        <w:t>report</w:t>
      </w:r>
      <w:r w:rsidR="007B7AAC" w:rsidRPr="000B147A">
        <w:rPr>
          <w:rFonts w:cs="Arial"/>
        </w:rPr>
        <w:t xml:space="preserve"> </w:t>
      </w:r>
      <w:r w:rsidR="007B7AAC">
        <w:rPr>
          <w:rFonts w:cs="Arial"/>
        </w:rPr>
        <w:t>is not supported</w:t>
      </w:r>
      <w:r w:rsidR="00876C5A">
        <w:rPr>
          <w:rFonts w:cs="Arial"/>
        </w:rPr>
        <w:t xml:space="preserve"> apart from the existing coordination mechanism</w:t>
      </w:r>
      <w:r w:rsidR="009F62E8">
        <w:rPr>
          <w:rFonts w:cs="Arial"/>
        </w:rPr>
        <w:t xml:space="preserve"> (</w:t>
      </w:r>
      <w:r w:rsidR="00194387" w:rsidRPr="0057323F">
        <w:rPr>
          <w:rFonts w:ascii="Calibri" w:hAnsi="Calibri" w:cs="Calibri"/>
          <w:lang w:val="en-US" w:eastAsia="en-US"/>
        </w:rPr>
        <w:t xml:space="preserve">i.e., </w:t>
      </w:r>
      <w:proofErr w:type="spellStart"/>
      <w:r w:rsidR="00194387" w:rsidRPr="0057323F">
        <w:rPr>
          <w:rFonts w:cs="Arial"/>
          <w:i/>
          <w:iCs/>
          <w:lang w:val="en-US" w:eastAsia="en-US"/>
        </w:rPr>
        <w:t>affectedCarrierFreqCombInfoListMRDC</w:t>
      </w:r>
      <w:proofErr w:type="spellEnd"/>
      <w:r w:rsidR="0057323F">
        <w:rPr>
          <w:rFonts w:cs="Arial"/>
          <w:i/>
          <w:iCs/>
          <w:lang w:val="en-US" w:eastAsia="en-US"/>
        </w:rPr>
        <w:t xml:space="preserve"> </w:t>
      </w:r>
      <w:r w:rsidR="0057323F" w:rsidRPr="00AA6164">
        <w:rPr>
          <w:rFonts w:cs="Arial"/>
          <w:lang w:val="en-US" w:eastAsia="en-US"/>
        </w:rPr>
        <w:t>in</w:t>
      </w:r>
      <w:r w:rsidR="0057323F">
        <w:rPr>
          <w:rFonts w:cs="Arial"/>
          <w:i/>
          <w:iCs/>
          <w:lang w:val="en-US" w:eastAsia="en-US"/>
        </w:rPr>
        <w:t xml:space="preserve"> </w:t>
      </w:r>
      <w:r w:rsidR="0057323F" w:rsidRPr="004C7C4C">
        <w:rPr>
          <w:rFonts w:cs="Arial"/>
          <w:i/>
          <w:iCs/>
          <w:lang w:eastAsia="sv-SE"/>
        </w:rPr>
        <w:t>CG-</w:t>
      </w:r>
      <w:proofErr w:type="spellStart"/>
      <w:r w:rsidR="0057323F" w:rsidRPr="004C7C4C">
        <w:rPr>
          <w:rFonts w:cs="Arial"/>
          <w:i/>
          <w:iCs/>
          <w:lang w:eastAsia="sv-SE"/>
        </w:rPr>
        <w:t>ConfigInfo</w:t>
      </w:r>
      <w:proofErr w:type="spellEnd"/>
      <w:r w:rsidR="00876C5A">
        <w:rPr>
          <w:rFonts w:cs="Arial"/>
        </w:rPr>
        <w:t xml:space="preserve"> for EN-DC</w:t>
      </w:r>
      <w:r w:rsidR="0057323F">
        <w:rPr>
          <w:rFonts w:cs="Arial"/>
        </w:rPr>
        <w:t>)</w:t>
      </w:r>
      <w:r w:rsidR="007B7AAC">
        <w:rPr>
          <w:rFonts w:cs="Arial"/>
        </w:rPr>
        <w:t>.</w:t>
      </w:r>
      <w:bookmarkEnd w:id="7"/>
    </w:p>
    <w:p w14:paraId="65435E70" w14:textId="2BC902F1" w:rsidR="00B764C6" w:rsidRDefault="00142A80" w:rsidP="00211044">
      <w:pPr>
        <w:rPr>
          <w:rFonts w:ascii="Arial" w:hAnsi="Arial"/>
          <w:lang w:eastAsia="zh-CN"/>
        </w:rPr>
      </w:pPr>
      <w:r>
        <w:rPr>
          <w:rFonts w:ascii="Arial" w:hAnsi="Arial"/>
          <w:lang w:eastAsia="zh-CN"/>
        </w:rPr>
        <w:t xml:space="preserve">In [1], companies have also raised concerns on whether </w:t>
      </w:r>
      <w:r w:rsidR="00E67314">
        <w:rPr>
          <w:rFonts w:ascii="Arial" w:hAnsi="Arial"/>
          <w:lang w:eastAsia="zh-CN"/>
        </w:rPr>
        <w:t xml:space="preserve">coordination between MN and SN is needed for IMD </w:t>
      </w:r>
      <w:r w:rsidR="00B764C6">
        <w:rPr>
          <w:rFonts w:ascii="Arial" w:hAnsi="Arial"/>
          <w:lang w:eastAsia="zh-CN"/>
        </w:rPr>
        <w:t>issue.</w:t>
      </w:r>
      <w:r w:rsidR="00AF17E3">
        <w:rPr>
          <w:rFonts w:ascii="Arial" w:hAnsi="Arial"/>
          <w:lang w:eastAsia="zh-CN"/>
        </w:rPr>
        <w:t xml:space="preserve"> IMD issue may be detected by UE in the below cases</w:t>
      </w:r>
    </w:p>
    <w:p w14:paraId="003940CC" w14:textId="5A5C73D1" w:rsidR="00D82EFD" w:rsidRDefault="00AF17E3" w:rsidP="00211044">
      <w:pPr>
        <w:rPr>
          <w:rFonts w:ascii="Arial" w:hAnsi="Arial"/>
          <w:lang w:eastAsia="zh-CN"/>
        </w:rPr>
      </w:pPr>
      <w:r>
        <w:rPr>
          <w:rFonts w:ascii="Arial" w:hAnsi="Arial"/>
          <w:lang w:eastAsia="zh-CN"/>
        </w:rPr>
        <w:t xml:space="preserve">Case 1: </w:t>
      </w:r>
      <w:r w:rsidR="00EA5D56">
        <w:rPr>
          <w:rFonts w:ascii="Arial" w:hAnsi="Arial"/>
          <w:lang w:eastAsia="zh-CN"/>
        </w:rPr>
        <w:t xml:space="preserve">IMD issue </w:t>
      </w:r>
      <w:r w:rsidR="00B63A6D">
        <w:rPr>
          <w:rFonts w:ascii="Arial" w:hAnsi="Arial"/>
          <w:lang w:eastAsia="zh-CN"/>
        </w:rPr>
        <w:t>between simultaneous TX</w:t>
      </w:r>
      <w:r w:rsidR="00951F05">
        <w:rPr>
          <w:rFonts w:ascii="Arial" w:hAnsi="Arial"/>
          <w:lang w:eastAsia="zh-CN"/>
        </w:rPr>
        <w:t xml:space="preserve"> of carriers</w:t>
      </w:r>
      <w:r w:rsidR="00B63A6D">
        <w:rPr>
          <w:rFonts w:ascii="Arial" w:hAnsi="Arial"/>
          <w:lang w:eastAsia="zh-CN"/>
        </w:rPr>
        <w:t xml:space="preserve"> in </w:t>
      </w:r>
      <w:r w:rsidR="003F79CE">
        <w:rPr>
          <w:rFonts w:ascii="Arial" w:hAnsi="Arial"/>
          <w:lang w:eastAsia="zh-CN"/>
        </w:rPr>
        <w:t>MCG and non-3GPP</w:t>
      </w:r>
    </w:p>
    <w:p w14:paraId="2ED98524" w14:textId="54110984" w:rsidR="00AF17E3" w:rsidRDefault="00D82EFD" w:rsidP="00211044">
      <w:pPr>
        <w:rPr>
          <w:rFonts w:ascii="Arial" w:hAnsi="Arial"/>
          <w:lang w:eastAsia="zh-CN"/>
        </w:rPr>
      </w:pPr>
      <w:r>
        <w:rPr>
          <w:rFonts w:ascii="Arial" w:hAnsi="Arial"/>
          <w:lang w:eastAsia="zh-CN"/>
        </w:rPr>
        <w:t>Case 2: IMD issue between simultaneous TX</w:t>
      </w:r>
      <w:r w:rsidR="00951F05">
        <w:rPr>
          <w:rFonts w:ascii="Arial" w:hAnsi="Arial"/>
          <w:lang w:eastAsia="zh-CN"/>
        </w:rPr>
        <w:t xml:space="preserve"> of carriers </w:t>
      </w:r>
      <w:r>
        <w:rPr>
          <w:rFonts w:ascii="Arial" w:hAnsi="Arial"/>
          <w:lang w:eastAsia="zh-CN"/>
        </w:rPr>
        <w:t>in SCG and non</w:t>
      </w:r>
      <w:r w:rsidR="00951F05">
        <w:rPr>
          <w:rFonts w:ascii="Arial" w:hAnsi="Arial"/>
          <w:lang w:eastAsia="zh-CN"/>
        </w:rPr>
        <w:t>-3GPP</w:t>
      </w:r>
      <w:r w:rsidR="003F79CE">
        <w:rPr>
          <w:rFonts w:ascii="Arial" w:hAnsi="Arial"/>
          <w:lang w:eastAsia="zh-CN"/>
        </w:rPr>
        <w:t xml:space="preserve"> </w:t>
      </w:r>
    </w:p>
    <w:p w14:paraId="07C9645A" w14:textId="463DFB2F" w:rsidR="00951F05" w:rsidRDefault="00951F05" w:rsidP="00211044">
      <w:pPr>
        <w:rPr>
          <w:rFonts w:ascii="Arial" w:hAnsi="Arial"/>
          <w:lang w:eastAsia="zh-CN"/>
        </w:rPr>
      </w:pPr>
      <w:r>
        <w:rPr>
          <w:rFonts w:ascii="Arial" w:hAnsi="Arial"/>
          <w:lang w:eastAsia="zh-CN"/>
        </w:rPr>
        <w:t xml:space="preserve">Case 3: IMD issue between simultaneous TX of </w:t>
      </w:r>
      <w:r w:rsidR="00813774">
        <w:rPr>
          <w:rFonts w:ascii="Arial" w:hAnsi="Arial"/>
          <w:lang w:eastAsia="zh-CN"/>
        </w:rPr>
        <w:t>MCG carriers and SCG carriers</w:t>
      </w:r>
      <w:r w:rsidR="009F3AE8">
        <w:rPr>
          <w:rFonts w:ascii="Arial" w:hAnsi="Arial"/>
          <w:lang w:eastAsia="zh-CN"/>
        </w:rPr>
        <w:t>, and non-3GPP</w:t>
      </w:r>
    </w:p>
    <w:p w14:paraId="4E6B6609" w14:textId="34DC89A9" w:rsidR="009F3AE8" w:rsidRDefault="00C1748C" w:rsidP="00211044">
      <w:pPr>
        <w:rPr>
          <w:rFonts w:ascii="Arial" w:hAnsi="Arial"/>
          <w:lang w:eastAsia="zh-CN"/>
        </w:rPr>
      </w:pPr>
      <w:r>
        <w:rPr>
          <w:rFonts w:ascii="Arial" w:hAnsi="Arial"/>
          <w:lang w:eastAsia="zh-CN"/>
        </w:rPr>
        <w:t xml:space="preserve">For Case 1 and Case 2, the proposal </w:t>
      </w:r>
      <w:r w:rsidR="00B30227">
        <w:rPr>
          <w:rFonts w:ascii="Arial" w:hAnsi="Arial"/>
          <w:lang w:eastAsia="zh-CN"/>
        </w:rPr>
        <w:t xml:space="preserve">1 and the proposal 2 are still valid. </w:t>
      </w:r>
      <w:r w:rsidR="00ED2BD9">
        <w:rPr>
          <w:rFonts w:ascii="Arial" w:hAnsi="Arial"/>
          <w:lang w:eastAsia="zh-CN"/>
        </w:rPr>
        <w:t xml:space="preserve">UE can just report IDC issues for combination of carriers in MCG or </w:t>
      </w:r>
      <w:r w:rsidR="001D59EF">
        <w:rPr>
          <w:rFonts w:ascii="Arial" w:hAnsi="Arial"/>
          <w:lang w:eastAsia="zh-CN"/>
        </w:rPr>
        <w:t xml:space="preserve">in </w:t>
      </w:r>
      <w:r w:rsidR="00ED2BD9">
        <w:rPr>
          <w:rFonts w:ascii="Arial" w:hAnsi="Arial"/>
          <w:lang w:eastAsia="zh-CN"/>
        </w:rPr>
        <w:t>SCG</w:t>
      </w:r>
      <w:r w:rsidR="00436C8F">
        <w:rPr>
          <w:rFonts w:ascii="Arial" w:hAnsi="Arial"/>
          <w:lang w:eastAsia="zh-CN"/>
        </w:rPr>
        <w:t xml:space="preserve"> using existing signalling of combinations of candidates</w:t>
      </w:r>
      <w:r w:rsidR="00ED2BD9">
        <w:rPr>
          <w:rFonts w:ascii="Arial" w:hAnsi="Arial"/>
          <w:lang w:eastAsia="zh-CN"/>
        </w:rPr>
        <w:t>. There is no coordination needed between MN and SN.</w:t>
      </w:r>
    </w:p>
    <w:p w14:paraId="5499DC32" w14:textId="48AD9F94" w:rsidR="00806C98" w:rsidRPr="00CA0D1F" w:rsidRDefault="00806C98" w:rsidP="00806C98">
      <w:pPr>
        <w:pStyle w:val="Observation"/>
        <w:tabs>
          <w:tab w:val="num" w:pos="3554"/>
        </w:tabs>
      </w:pPr>
      <w:bookmarkStart w:id="8" w:name="_Toc127439782"/>
      <w:r>
        <w:rPr>
          <w:rFonts w:cs="Arial"/>
        </w:rPr>
        <w:t>Coordination is not needed between MN and SN for IMD issue only concerning carrier</w:t>
      </w:r>
      <w:r w:rsidR="00F33209">
        <w:rPr>
          <w:rFonts w:cs="Arial"/>
        </w:rPr>
        <w:t>s in the CG</w:t>
      </w:r>
      <w:r w:rsidRPr="103D0151">
        <w:rPr>
          <w:rFonts w:cs="Arial"/>
          <w:lang w:val="en-US"/>
        </w:rPr>
        <w:t>.</w:t>
      </w:r>
      <w:bookmarkEnd w:id="8"/>
      <w:r w:rsidRPr="103D0151">
        <w:rPr>
          <w:rFonts w:cs="Arial"/>
        </w:rPr>
        <w:t xml:space="preserve"> </w:t>
      </w:r>
    </w:p>
    <w:p w14:paraId="70E71632" w14:textId="6471514B" w:rsidR="0060638D" w:rsidRDefault="00BB747C" w:rsidP="00211044">
      <w:pPr>
        <w:rPr>
          <w:rFonts w:ascii="Arial" w:hAnsi="Arial"/>
          <w:lang w:eastAsia="zh-CN"/>
        </w:rPr>
      </w:pPr>
      <w:r>
        <w:rPr>
          <w:rFonts w:ascii="Arial" w:hAnsi="Arial"/>
          <w:lang w:eastAsia="zh-CN"/>
        </w:rPr>
        <w:t xml:space="preserve">For case 3, there is no coordination needed either. In this case, </w:t>
      </w:r>
      <w:r w:rsidR="00AD7874">
        <w:rPr>
          <w:rFonts w:ascii="Arial" w:hAnsi="Arial"/>
          <w:lang w:eastAsia="zh-CN"/>
        </w:rPr>
        <w:t xml:space="preserve">it is sufficient to leave up to UE implementation to only report </w:t>
      </w:r>
      <w:r w:rsidR="007D482F">
        <w:rPr>
          <w:rFonts w:ascii="Arial" w:hAnsi="Arial"/>
          <w:lang w:eastAsia="zh-CN"/>
        </w:rPr>
        <w:t xml:space="preserve">the affected </w:t>
      </w:r>
      <w:r w:rsidR="00436C8F">
        <w:rPr>
          <w:rFonts w:ascii="Arial" w:hAnsi="Arial"/>
          <w:lang w:eastAsia="zh-CN"/>
        </w:rPr>
        <w:t>MN candidate frequencies to MN</w:t>
      </w:r>
      <w:r w:rsidR="007D482F">
        <w:rPr>
          <w:rFonts w:ascii="Arial" w:hAnsi="Arial"/>
          <w:lang w:eastAsia="zh-CN"/>
        </w:rPr>
        <w:t xml:space="preserve"> or </w:t>
      </w:r>
      <w:r w:rsidR="00436C8F">
        <w:rPr>
          <w:rFonts w:ascii="Arial" w:hAnsi="Arial"/>
          <w:lang w:eastAsia="zh-CN"/>
        </w:rPr>
        <w:t>affected SN candidate carriers to the SN</w:t>
      </w:r>
      <w:r w:rsidR="000915A4">
        <w:rPr>
          <w:rFonts w:ascii="Arial" w:hAnsi="Arial"/>
          <w:lang w:eastAsia="zh-CN"/>
        </w:rPr>
        <w:t>. For the former, MN would deactivate the affected carriers in MCG, For the latter, SN would deactivate the affected carriers in SCG</w:t>
      </w:r>
      <w:r w:rsidR="0060638D">
        <w:rPr>
          <w:rFonts w:ascii="Arial" w:hAnsi="Arial"/>
          <w:lang w:eastAsia="zh-CN"/>
        </w:rPr>
        <w:t>.</w:t>
      </w:r>
      <w:r w:rsidR="00436C8F">
        <w:rPr>
          <w:rFonts w:ascii="Arial" w:hAnsi="Arial"/>
          <w:lang w:eastAsia="zh-CN"/>
        </w:rPr>
        <w:t xml:space="preserve"> If the UE decides to send the IDC indication to the MN, the MN would de</w:t>
      </w:r>
      <w:r w:rsidR="00DA0078">
        <w:rPr>
          <w:rFonts w:ascii="Arial" w:hAnsi="Arial"/>
          <w:lang w:eastAsia="zh-CN"/>
        </w:rPr>
        <w:t>-</w:t>
      </w:r>
      <w:r w:rsidR="00436C8F">
        <w:rPr>
          <w:rFonts w:ascii="Arial" w:hAnsi="Arial"/>
          <w:lang w:eastAsia="zh-CN"/>
        </w:rPr>
        <w:t>configure/similar the MN-frequencies which are part of causing the IMD issues, and if the UE decides to send the IDC indication to the SN, the SN would de</w:t>
      </w:r>
      <w:r w:rsidR="00DA0078">
        <w:rPr>
          <w:rFonts w:ascii="Arial" w:hAnsi="Arial"/>
          <w:lang w:eastAsia="zh-CN"/>
        </w:rPr>
        <w:t>-</w:t>
      </w:r>
      <w:r w:rsidR="00436C8F">
        <w:rPr>
          <w:rFonts w:ascii="Arial" w:hAnsi="Arial"/>
          <w:lang w:eastAsia="zh-CN"/>
        </w:rPr>
        <w:t>configure/similar the SN-frequencies which are part of causing the IMD issues. An alternative to this would be for the UE to indicate a combination of MN candidate frequencies and SN candidate frequencies to the MN and/or SN and the MN and SN would coordinate to decide if the MN should address the IMD issues by de</w:t>
      </w:r>
      <w:r w:rsidR="00DA0078">
        <w:rPr>
          <w:rFonts w:ascii="Arial" w:hAnsi="Arial"/>
          <w:lang w:eastAsia="zh-CN"/>
        </w:rPr>
        <w:t>-</w:t>
      </w:r>
      <w:r w:rsidR="00436C8F">
        <w:rPr>
          <w:rFonts w:ascii="Arial" w:hAnsi="Arial"/>
          <w:lang w:eastAsia="zh-CN"/>
        </w:rPr>
        <w:t xml:space="preserve">configuring/similar the MN carriers, or whether the SN should address the IMD issues. However, we believe that it is </w:t>
      </w:r>
      <w:r w:rsidR="00F439D3">
        <w:rPr>
          <w:rFonts w:ascii="Arial" w:hAnsi="Arial"/>
          <w:lang w:eastAsia="zh-CN"/>
        </w:rPr>
        <w:t xml:space="preserve">sufficient </w:t>
      </w:r>
      <w:r w:rsidR="00436C8F">
        <w:rPr>
          <w:rFonts w:ascii="Arial" w:hAnsi="Arial"/>
          <w:lang w:eastAsia="zh-CN"/>
        </w:rPr>
        <w:t>to leave it to the UE implementation to send the IDC indication to either the MN or the SN, and hence we can avoid additional work of specifying coordination between nodes</w:t>
      </w:r>
      <w:r w:rsidR="00436C8F">
        <w:rPr>
          <w:rFonts w:ascii="Arial" w:hAnsi="Arial"/>
          <w:lang w:eastAsia="zh-CN"/>
        </w:rPr>
        <w:t>.</w:t>
      </w:r>
      <w:r w:rsidR="00E079B9">
        <w:rPr>
          <w:rFonts w:ascii="Arial" w:hAnsi="Arial"/>
          <w:lang w:eastAsia="zh-CN"/>
        </w:rPr>
        <w:t xml:space="preserve"> In addition, there is overlapping discussion in the email discussion “</w:t>
      </w:r>
      <w:r w:rsidR="00E079B9" w:rsidRPr="00E079B9">
        <w:rPr>
          <w:rFonts w:ascii="Arial" w:hAnsi="Arial" w:cs="Arial"/>
        </w:rPr>
        <w:t>Post120][</w:t>
      </w:r>
      <w:proofErr w:type="gramStart"/>
      <w:r w:rsidR="00E079B9" w:rsidRPr="00E079B9">
        <w:rPr>
          <w:rFonts w:ascii="Arial" w:hAnsi="Arial" w:cs="Arial"/>
        </w:rPr>
        <w:t>651][</w:t>
      </w:r>
      <w:proofErr w:type="gramEnd"/>
      <w:r w:rsidR="00E079B9" w:rsidRPr="00E079B9">
        <w:rPr>
          <w:rFonts w:ascii="Arial" w:hAnsi="Arial" w:cs="Arial"/>
        </w:rPr>
        <w:t>IDC]  Further details of TDM solution (vivo)</w:t>
      </w:r>
      <w:r w:rsidR="00E079B9">
        <w:rPr>
          <w:rFonts w:ascii="Arial" w:hAnsi="Arial"/>
          <w:lang w:eastAsia="zh-CN"/>
        </w:rPr>
        <w:t xml:space="preserve"> “ where it has been suggested by a majority of companies to support per CG TDM pattern. </w:t>
      </w:r>
      <w:r w:rsidR="001C68EE">
        <w:rPr>
          <w:rFonts w:ascii="Arial" w:hAnsi="Arial"/>
          <w:lang w:eastAsia="zh-CN"/>
        </w:rPr>
        <w:t>Therefore,</w:t>
      </w:r>
      <w:r w:rsidR="00E079B9">
        <w:rPr>
          <w:rFonts w:ascii="Arial" w:hAnsi="Arial"/>
          <w:lang w:eastAsia="zh-CN"/>
        </w:rPr>
        <w:t xml:space="preserve"> it would be beneficial to avoid further coordination between MN and SN even for IMD issue. Thus, we can have </w:t>
      </w:r>
      <w:r w:rsidR="001C68EE">
        <w:rPr>
          <w:rFonts w:ascii="Arial" w:hAnsi="Arial"/>
          <w:lang w:eastAsia="zh-CN"/>
        </w:rPr>
        <w:t>a</w:t>
      </w:r>
      <w:r w:rsidR="00E079B9">
        <w:rPr>
          <w:rFonts w:ascii="Arial" w:hAnsi="Arial"/>
          <w:lang w:eastAsia="zh-CN"/>
        </w:rPr>
        <w:t xml:space="preserve"> unified framework for both FDM solutions and TDM solutions.</w:t>
      </w:r>
    </w:p>
    <w:p w14:paraId="012C9E6B" w14:textId="77777777" w:rsidR="00576095" w:rsidRDefault="00576095" w:rsidP="00576095">
      <w:pPr>
        <w:rPr>
          <w:rFonts w:ascii="Arial" w:hAnsi="Arial" w:cs="Arial"/>
        </w:rPr>
      </w:pPr>
      <w:r>
        <w:rPr>
          <w:rFonts w:ascii="Arial" w:hAnsi="Arial" w:cs="Arial"/>
        </w:rPr>
        <w:t>Therefore, we make the below proposal</w:t>
      </w:r>
    </w:p>
    <w:p w14:paraId="3FB41C50" w14:textId="2285814E" w:rsidR="0060638D" w:rsidRPr="00EB09A2" w:rsidRDefault="0060638D" w:rsidP="0060638D">
      <w:pPr>
        <w:pStyle w:val="Proposal"/>
      </w:pPr>
      <w:bookmarkStart w:id="9" w:name="_Toc127439778"/>
      <w:r>
        <w:t xml:space="preserve">Upon </w:t>
      </w:r>
      <w:r w:rsidR="00951617">
        <w:t>detecting</w:t>
      </w:r>
      <w:r>
        <w:t xml:space="preserve"> IMD issue for carriers across MCG and SCG, it is up to UE implementation to determine to report </w:t>
      </w:r>
      <w:r w:rsidR="00510D3F">
        <w:t xml:space="preserve">only </w:t>
      </w:r>
      <w:r>
        <w:t xml:space="preserve">the affected </w:t>
      </w:r>
      <w:r w:rsidR="005F5FC2">
        <w:t xml:space="preserve">frequencies and bandwidth </w:t>
      </w:r>
      <w:r w:rsidR="00705374">
        <w:t xml:space="preserve">in </w:t>
      </w:r>
      <w:r w:rsidR="001749B7">
        <w:t xml:space="preserve">the </w:t>
      </w:r>
      <w:r w:rsidR="00705374">
        <w:t xml:space="preserve">MCG </w:t>
      </w:r>
      <w:r w:rsidR="00436C8F">
        <w:t>to the MN</w:t>
      </w:r>
      <w:r w:rsidR="00705374">
        <w:t xml:space="preserve"> or </w:t>
      </w:r>
      <w:r w:rsidR="001749B7">
        <w:t xml:space="preserve">affected frequencies and bandwidth </w:t>
      </w:r>
      <w:r w:rsidR="00705374">
        <w:t>in SCG</w:t>
      </w:r>
      <w:r w:rsidR="007B0088">
        <w:t xml:space="preserve"> to the </w:t>
      </w:r>
      <w:r w:rsidR="00436C8F">
        <w:t>SN</w:t>
      </w:r>
      <w:r>
        <w:rPr>
          <w:rFonts w:cs="Arial"/>
        </w:rPr>
        <w:t>.</w:t>
      </w:r>
      <w:bookmarkEnd w:id="9"/>
    </w:p>
    <w:p w14:paraId="7984D553" w14:textId="348FC6F7" w:rsidR="00ED2BD9" w:rsidRDefault="002C4351" w:rsidP="00211044">
      <w:pPr>
        <w:rPr>
          <w:rFonts w:ascii="Arial" w:hAnsi="Arial"/>
          <w:lang w:eastAsia="zh-CN"/>
        </w:rPr>
      </w:pPr>
      <w:r>
        <w:rPr>
          <w:rFonts w:ascii="Arial" w:hAnsi="Arial"/>
          <w:lang w:eastAsia="zh-CN"/>
        </w:rPr>
        <w:t xml:space="preserve">As a further step, we think it is beneficial to capture this </w:t>
      </w:r>
      <w:r w:rsidR="00436C8F">
        <w:rPr>
          <w:rFonts w:ascii="Arial" w:hAnsi="Arial"/>
          <w:lang w:eastAsia="zh-CN"/>
        </w:rPr>
        <w:t xml:space="preserve">the behaviour of Proposal </w:t>
      </w:r>
      <w:r w:rsidR="00E079B9">
        <w:rPr>
          <w:rFonts w:ascii="Arial" w:hAnsi="Arial"/>
          <w:lang w:eastAsia="zh-CN"/>
        </w:rPr>
        <w:t>3</w:t>
      </w:r>
      <w:r w:rsidR="00436C8F">
        <w:rPr>
          <w:rFonts w:ascii="Arial" w:hAnsi="Arial"/>
          <w:lang w:eastAsia="zh-CN"/>
        </w:rPr>
        <w:t xml:space="preserve"> </w:t>
      </w:r>
      <w:r>
        <w:rPr>
          <w:rFonts w:ascii="Arial" w:hAnsi="Arial"/>
          <w:lang w:eastAsia="zh-CN"/>
        </w:rPr>
        <w:t xml:space="preserve">in </w:t>
      </w:r>
      <w:r w:rsidR="00436C8F">
        <w:rPr>
          <w:rFonts w:ascii="Arial" w:hAnsi="Arial"/>
          <w:lang w:eastAsia="zh-CN"/>
        </w:rPr>
        <w:t xml:space="preserve">the spec and it is likely sufficient with a description </w:t>
      </w:r>
      <w:r>
        <w:rPr>
          <w:rFonts w:ascii="Arial" w:hAnsi="Arial"/>
          <w:lang w:eastAsia="zh-CN"/>
        </w:rPr>
        <w:t xml:space="preserve">in </w:t>
      </w:r>
      <w:r w:rsidR="00436C8F">
        <w:rPr>
          <w:rFonts w:ascii="Arial" w:hAnsi="Arial"/>
          <w:lang w:eastAsia="zh-CN"/>
        </w:rPr>
        <w:t xml:space="preserve">the </w:t>
      </w:r>
      <w:r>
        <w:rPr>
          <w:rFonts w:ascii="Arial" w:hAnsi="Arial"/>
          <w:lang w:eastAsia="zh-CN"/>
        </w:rPr>
        <w:t>Stage 2 spec</w:t>
      </w:r>
      <w:r w:rsidR="00B624EF">
        <w:rPr>
          <w:rFonts w:ascii="Arial" w:hAnsi="Arial"/>
          <w:lang w:eastAsia="zh-CN"/>
        </w:rPr>
        <w:t xml:space="preserve">. </w:t>
      </w:r>
      <w:r w:rsidR="00576095">
        <w:rPr>
          <w:rFonts w:ascii="Arial" w:hAnsi="Arial"/>
          <w:lang w:eastAsia="zh-CN"/>
        </w:rPr>
        <w:t>This rule</w:t>
      </w:r>
      <w:r w:rsidR="00B70421">
        <w:rPr>
          <w:rFonts w:ascii="Arial" w:hAnsi="Arial"/>
          <w:lang w:eastAsia="zh-CN"/>
        </w:rPr>
        <w:t xml:space="preserve"> is applicable to both EN-DC and NR-DC. </w:t>
      </w:r>
    </w:p>
    <w:p w14:paraId="0A022FF5" w14:textId="7C754B43" w:rsidR="00AB5F2C" w:rsidRDefault="00AB5F2C" w:rsidP="00211044">
      <w:pPr>
        <w:rPr>
          <w:rFonts w:ascii="Arial" w:hAnsi="Arial"/>
          <w:lang w:eastAsia="zh-CN"/>
        </w:rPr>
      </w:pPr>
      <w:r>
        <w:rPr>
          <w:rFonts w:ascii="Arial" w:hAnsi="Arial"/>
          <w:lang w:eastAsia="zh-CN"/>
        </w:rPr>
        <w:t xml:space="preserve">Currently, IDC is captured in TS 36.300. Meanwhile NR spec TS 38.300 refers to the IDC clause in TS 36.300. Given this, it is up to the WI rapporteur to decide how to capture the behaviour of Proposal 3 in the </w:t>
      </w:r>
      <w:r>
        <w:rPr>
          <w:rFonts w:ascii="Arial" w:hAnsi="Arial"/>
          <w:lang w:eastAsia="zh-CN"/>
        </w:rPr>
        <w:lastRenderedPageBreak/>
        <w:t>specs (i.e., whether to capture the behaviour of Proposal 3 in both LTE spec and NR spec, or only capture it in LTE spec).</w:t>
      </w:r>
    </w:p>
    <w:p w14:paraId="5C0D2B63" w14:textId="1CE015EA" w:rsidR="00B70421" w:rsidRPr="00EB09A2" w:rsidRDefault="00B70421" w:rsidP="00B70421">
      <w:pPr>
        <w:pStyle w:val="Proposal"/>
      </w:pPr>
      <w:bookmarkStart w:id="10" w:name="_Toc127439779"/>
      <w:r>
        <w:t xml:space="preserve">Capture in the Stage 2 spec </w:t>
      </w:r>
      <w:r w:rsidR="00CF161D">
        <w:t>(i.e., TS 36.300</w:t>
      </w:r>
      <w:r w:rsidR="00A0212C">
        <w:t xml:space="preserve"> and/or TS 38.300</w:t>
      </w:r>
      <w:r w:rsidR="00CF161D">
        <w:t xml:space="preserve">) that it is up to UE implementation to determine to report </w:t>
      </w:r>
      <w:r w:rsidR="00510D3F">
        <w:t xml:space="preserve">only </w:t>
      </w:r>
      <w:r w:rsidR="00CF161D">
        <w:t xml:space="preserve">the affected frequencies and bandwidth in </w:t>
      </w:r>
      <w:r w:rsidR="00B77002">
        <w:t xml:space="preserve">the </w:t>
      </w:r>
      <w:r w:rsidR="00CF161D">
        <w:t xml:space="preserve">MCG </w:t>
      </w:r>
      <w:r w:rsidR="00B77002">
        <w:t>to the MN</w:t>
      </w:r>
      <w:r w:rsidR="00CF161D">
        <w:t xml:space="preserve"> or </w:t>
      </w:r>
      <w:r w:rsidR="00B77002">
        <w:t xml:space="preserve">affected frequencies </w:t>
      </w:r>
      <w:r w:rsidR="001749B7">
        <w:t xml:space="preserve">and bandwidth </w:t>
      </w:r>
      <w:r w:rsidR="00CF161D">
        <w:t xml:space="preserve">in </w:t>
      </w:r>
      <w:r w:rsidR="00B77002">
        <w:t xml:space="preserve">the </w:t>
      </w:r>
      <w:r w:rsidR="00CF161D">
        <w:t xml:space="preserve">SCG to the </w:t>
      </w:r>
      <w:r w:rsidR="00B77002">
        <w:t>SN</w:t>
      </w:r>
      <w:r w:rsidR="00D05A35">
        <w:t xml:space="preserve">, upon </w:t>
      </w:r>
      <w:r w:rsidR="00951617">
        <w:t>detecting IMD issue for carriers across MCG and SCG</w:t>
      </w:r>
      <w:r>
        <w:rPr>
          <w:rFonts w:cs="Arial"/>
        </w:rPr>
        <w:t>.</w:t>
      </w:r>
      <w:bookmarkEnd w:id="10"/>
    </w:p>
    <w:p w14:paraId="20D74898" w14:textId="178CEAF3" w:rsidR="00C01F33" w:rsidRPr="00CE0424" w:rsidRDefault="00902613" w:rsidP="00CE0424">
      <w:pPr>
        <w:pStyle w:val="Heading1"/>
      </w:pPr>
      <w:r>
        <w:t>3</w:t>
      </w:r>
      <w:r>
        <w:tab/>
      </w:r>
      <w:r w:rsidR="00C01F33" w:rsidRPr="00CE0424">
        <w:t>Conclusion</w:t>
      </w:r>
    </w:p>
    <w:p w14:paraId="6A499F1F" w14:textId="77777777" w:rsidR="009B63B2" w:rsidRDefault="009B63B2" w:rsidP="009B63B2">
      <w:pPr>
        <w:pStyle w:val="BodyText"/>
        <w:rPr>
          <w:b/>
          <w:bCs/>
        </w:rPr>
      </w:pPr>
      <w:r>
        <w:t>In the previous sections</w:t>
      </w:r>
      <w:r w:rsidRPr="00CE0424">
        <w:t xml:space="preserve"> we </w:t>
      </w:r>
      <w:r>
        <w:t>made the following observations</w:t>
      </w:r>
      <w:r w:rsidRPr="00CE0424">
        <w:t>:</w:t>
      </w:r>
      <w:r>
        <w:rPr>
          <w:b/>
          <w:bCs/>
        </w:rPr>
        <w:t xml:space="preserve"> </w:t>
      </w:r>
    </w:p>
    <w:p w14:paraId="19D7DE10" w14:textId="3EFAEFD5" w:rsidR="00D006B4" w:rsidRDefault="009B63B2">
      <w:pPr>
        <w:pStyle w:val="TableofFigures"/>
        <w:tabs>
          <w:tab w:val="right" w:leader="dot" w:pos="9629"/>
        </w:tabs>
        <w:rPr>
          <w:rFonts w:asciiTheme="minorHAnsi" w:eastAsiaTheme="minorEastAsia" w:hAnsiTheme="minorHAnsi" w:cstheme="minorBidi"/>
          <w:b w:val="0"/>
          <w:noProof/>
          <w:sz w:val="22"/>
          <w:szCs w:val="22"/>
          <w:lang w:val="en-SE"/>
        </w:rPr>
      </w:pPr>
      <w:r>
        <w:rPr>
          <w:b w:val="0"/>
          <w:bCs/>
        </w:rPr>
        <w:fldChar w:fldCharType="begin"/>
      </w:r>
      <w:r>
        <w:rPr>
          <w:b w:val="0"/>
          <w:bCs/>
        </w:rPr>
        <w:instrText xml:space="preserve"> TOC \f O \n \h \z \t "Observation" \c </w:instrText>
      </w:r>
      <w:r>
        <w:rPr>
          <w:b w:val="0"/>
          <w:bCs/>
        </w:rPr>
        <w:fldChar w:fldCharType="separate"/>
      </w:r>
      <w:hyperlink w:anchor="_Toc127439780" w:history="1">
        <w:r w:rsidR="00D006B4" w:rsidRPr="00A31651">
          <w:rPr>
            <w:rStyle w:val="Hyperlink"/>
            <w:noProof/>
          </w:rPr>
          <w:t>Observation 1</w:t>
        </w:r>
        <w:r w:rsidR="00D006B4">
          <w:rPr>
            <w:rFonts w:asciiTheme="minorHAnsi" w:eastAsiaTheme="minorEastAsia" w:hAnsiTheme="minorHAnsi" w:cstheme="minorBidi"/>
            <w:b w:val="0"/>
            <w:noProof/>
            <w:sz w:val="22"/>
            <w:szCs w:val="22"/>
            <w:lang w:val="en-SE"/>
          </w:rPr>
          <w:tab/>
        </w:r>
        <w:r w:rsidR="00D006B4" w:rsidRPr="00A31651">
          <w:rPr>
            <w:rStyle w:val="Hyperlink"/>
            <w:rFonts w:cs="Arial"/>
            <w:noProof/>
            <w:lang w:val="en-US"/>
          </w:rPr>
          <w:t xml:space="preserve">It is beneficial to avoid </w:t>
        </w:r>
        <w:r w:rsidR="00D006B4" w:rsidRPr="00A31651">
          <w:rPr>
            <w:rStyle w:val="Hyperlink"/>
            <w:rFonts w:cs="Arial"/>
            <w:noProof/>
          </w:rPr>
          <w:t>MN and SN to coordinate for configuring the UE for IDC, which would add additional design complexity</w:t>
        </w:r>
        <w:r w:rsidR="00D006B4" w:rsidRPr="00A31651">
          <w:rPr>
            <w:rStyle w:val="Hyperlink"/>
            <w:rFonts w:cs="Arial"/>
            <w:noProof/>
            <w:lang w:val="en-US"/>
          </w:rPr>
          <w:t>.</w:t>
        </w:r>
      </w:hyperlink>
    </w:p>
    <w:p w14:paraId="096EC92F" w14:textId="27937C8F" w:rsidR="00D006B4" w:rsidRDefault="00D006B4">
      <w:pPr>
        <w:pStyle w:val="TableofFigures"/>
        <w:tabs>
          <w:tab w:val="right" w:leader="dot" w:pos="9629"/>
        </w:tabs>
        <w:rPr>
          <w:rFonts w:asciiTheme="minorHAnsi" w:eastAsiaTheme="minorEastAsia" w:hAnsiTheme="minorHAnsi" w:cstheme="minorBidi"/>
          <w:b w:val="0"/>
          <w:noProof/>
          <w:sz w:val="22"/>
          <w:szCs w:val="22"/>
          <w:lang w:val="en-SE"/>
        </w:rPr>
      </w:pPr>
      <w:hyperlink w:anchor="_Toc127439781" w:history="1">
        <w:r w:rsidRPr="00A31651">
          <w:rPr>
            <w:rStyle w:val="Hyperlink"/>
            <w:noProof/>
          </w:rPr>
          <w:t>Observation 2</w:t>
        </w:r>
        <w:r>
          <w:rPr>
            <w:rFonts w:asciiTheme="minorHAnsi" w:eastAsiaTheme="minorEastAsia" w:hAnsiTheme="minorHAnsi" w:cstheme="minorBidi"/>
            <w:b w:val="0"/>
            <w:noProof/>
            <w:sz w:val="22"/>
            <w:szCs w:val="22"/>
            <w:lang w:val="en-SE"/>
          </w:rPr>
          <w:tab/>
        </w:r>
        <w:r w:rsidRPr="00A31651">
          <w:rPr>
            <w:rStyle w:val="Hyperlink"/>
            <w:rFonts w:cs="Arial"/>
            <w:noProof/>
          </w:rPr>
          <w:t>There is already coordination for IDC configuration and UE IDC report between MN and SN for EN-DC</w:t>
        </w:r>
        <w:r w:rsidRPr="00A31651">
          <w:rPr>
            <w:rStyle w:val="Hyperlink"/>
            <w:rFonts w:cs="Arial"/>
            <w:noProof/>
            <w:lang w:val="en-US"/>
          </w:rPr>
          <w:t>.</w:t>
        </w:r>
      </w:hyperlink>
    </w:p>
    <w:p w14:paraId="7A28BA7B" w14:textId="038D4012" w:rsidR="00D006B4" w:rsidRDefault="00D006B4">
      <w:pPr>
        <w:pStyle w:val="TableofFigures"/>
        <w:tabs>
          <w:tab w:val="right" w:leader="dot" w:pos="9629"/>
        </w:tabs>
        <w:rPr>
          <w:rFonts w:asciiTheme="minorHAnsi" w:eastAsiaTheme="minorEastAsia" w:hAnsiTheme="minorHAnsi" w:cstheme="minorBidi"/>
          <w:b w:val="0"/>
          <w:noProof/>
          <w:sz w:val="22"/>
          <w:szCs w:val="22"/>
          <w:lang w:val="en-SE"/>
        </w:rPr>
      </w:pPr>
      <w:hyperlink w:anchor="_Toc127439782" w:history="1">
        <w:r w:rsidRPr="00A31651">
          <w:rPr>
            <w:rStyle w:val="Hyperlink"/>
            <w:noProof/>
          </w:rPr>
          <w:t>Observation 3</w:t>
        </w:r>
        <w:r>
          <w:rPr>
            <w:rFonts w:asciiTheme="minorHAnsi" w:eastAsiaTheme="minorEastAsia" w:hAnsiTheme="minorHAnsi" w:cstheme="minorBidi"/>
            <w:b w:val="0"/>
            <w:noProof/>
            <w:sz w:val="22"/>
            <w:szCs w:val="22"/>
            <w:lang w:val="en-SE"/>
          </w:rPr>
          <w:tab/>
        </w:r>
        <w:r w:rsidRPr="00A31651">
          <w:rPr>
            <w:rStyle w:val="Hyperlink"/>
            <w:rFonts w:cs="Arial"/>
            <w:noProof/>
          </w:rPr>
          <w:t>Coordination is not needed between MN and SN for IMD issue only concerning carriers in the CG</w:t>
        </w:r>
        <w:r w:rsidRPr="00A31651">
          <w:rPr>
            <w:rStyle w:val="Hyperlink"/>
            <w:rFonts w:cs="Arial"/>
            <w:noProof/>
            <w:lang w:val="en-US"/>
          </w:rPr>
          <w:t>.</w:t>
        </w:r>
      </w:hyperlink>
    </w:p>
    <w:p w14:paraId="10496237" w14:textId="21AB479A" w:rsidR="009B63B2" w:rsidRDefault="009B63B2" w:rsidP="009B63B2">
      <w:pPr>
        <w:pStyle w:val="BodyText"/>
      </w:pPr>
      <w:r>
        <w:rPr>
          <w:b/>
          <w:bCs/>
        </w:rPr>
        <w:fldChar w:fldCharType="end"/>
      </w:r>
    </w:p>
    <w:p w14:paraId="4DC87846" w14:textId="0EDEB16D"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513811B" w14:textId="77777777" w:rsidR="009B63B2" w:rsidRDefault="009B63B2" w:rsidP="006E1C82">
      <w:pPr>
        <w:pStyle w:val="BodyText"/>
      </w:pPr>
    </w:p>
    <w:p w14:paraId="03E85EE7" w14:textId="76A58A1E" w:rsidR="00D006B4" w:rsidRDefault="006E1C82">
      <w:pPr>
        <w:pStyle w:val="TableofFigures"/>
        <w:tabs>
          <w:tab w:val="right" w:leader="dot" w:pos="9629"/>
        </w:tabs>
        <w:rPr>
          <w:rFonts w:asciiTheme="minorHAnsi" w:eastAsiaTheme="minorEastAsia" w:hAnsiTheme="minorHAnsi" w:cstheme="minorBidi"/>
          <w:b w:val="0"/>
          <w:noProof/>
          <w:sz w:val="22"/>
          <w:szCs w:val="22"/>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39776" w:history="1">
        <w:r w:rsidR="00D006B4" w:rsidRPr="003F7C1D">
          <w:rPr>
            <w:rStyle w:val="Hyperlink"/>
            <w:noProof/>
          </w:rPr>
          <w:t>Proposal 1</w:t>
        </w:r>
        <w:r w:rsidR="00D006B4">
          <w:rPr>
            <w:rFonts w:asciiTheme="minorHAnsi" w:eastAsiaTheme="minorEastAsia" w:hAnsiTheme="minorHAnsi" w:cstheme="minorBidi"/>
            <w:b w:val="0"/>
            <w:noProof/>
            <w:sz w:val="22"/>
            <w:szCs w:val="22"/>
            <w:lang w:val="en-SE"/>
          </w:rPr>
          <w:tab/>
        </w:r>
        <w:r w:rsidR="00D006B4" w:rsidRPr="003F7C1D">
          <w:rPr>
            <w:rStyle w:val="Hyperlink"/>
            <w:noProof/>
          </w:rPr>
          <w:t>Further coordination between MN and SN for</w:t>
        </w:r>
        <w:r w:rsidR="00D006B4" w:rsidRPr="003F7C1D">
          <w:rPr>
            <w:rStyle w:val="Hyperlink"/>
            <w:rFonts w:cs="Arial"/>
            <w:noProof/>
          </w:rPr>
          <w:t xml:space="preserve"> IDC configuration is not supported apart from the existing coordination mechanism (</w:t>
        </w:r>
        <w:r w:rsidR="00D006B4" w:rsidRPr="003F7C1D">
          <w:rPr>
            <w:rStyle w:val="Hyperlink"/>
            <w:rFonts w:ascii="Calibri" w:hAnsi="Calibri" w:cs="Calibri"/>
            <w:noProof/>
            <w:lang w:val="en-US" w:eastAsia="en-US"/>
          </w:rPr>
          <w:t xml:space="preserve">i.e., </w:t>
        </w:r>
        <w:r w:rsidR="00D006B4" w:rsidRPr="003F7C1D">
          <w:rPr>
            <w:rStyle w:val="Hyperlink"/>
            <w:rFonts w:cs="Arial"/>
            <w:i/>
            <w:iCs/>
            <w:noProof/>
            <w:lang w:val="en-US" w:eastAsia="en-US"/>
          </w:rPr>
          <w:t xml:space="preserve">candidateServingFreqListNR </w:t>
        </w:r>
        <w:r w:rsidR="00D006B4" w:rsidRPr="003F7C1D">
          <w:rPr>
            <w:rStyle w:val="Hyperlink"/>
            <w:rFonts w:cs="Arial"/>
            <w:noProof/>
            <w:lang w:eastAsia="sv-SE"/>
          </w:rPr>
          <w:t xml:space="preserve">in </w:t>
        </w:r>
        <w:r w:rsidR="00D006B4" w:rsidRPr="003F7C1D">
          <w:rPr>
            <w:rStyle w:val="Hyperlink"/>
            <w:rFonts w:cs="Arial"/>
            <w:i/>
            <w:iCs/>
            <w:noProof/>
            <w:lang w:eastAsia="sv-SE"/>
          </w:rPr>
          <w:t>CG-Config</w:t>
        </w:r>
        <w:r w:rsidR="00D006B4" w:rsidRPr="003F7C1D">
          <w:rPr>
            <w:rStyle w:val="Hyperlink"/>
            <w:rFonts w:cs="Arial"/>
            <w:noProof/>
          </w:rPr>
          <w:t xml:space="preserve"> for EN-DC).</w:t>
        </w:r>
      </w:hyperlink>
    </w:p>
    <w:p w14:paraId="048D7D64" w14:textId="5EB0EDB9" w:rsidR="00D006B4" w:rsidRDefault="00D006B4">
      <w:pPr>
        <w:pStyle w:val="TableofFigures"/>
        <w:tabs>
          <w:tab w:val="right" w:leader="dot" w:pos="9629"/>
        </w:tabs>
        <w:rPr>
          <w:rFonts w:asciiTheme="minorHAnsi" w:eastAsiaTheme="minorEastAsia" w:hAnsiTheme="minorHAnsi" w:cstheme="minorBidi"/>
          <w:b w:val="0"/>
          <w:noProof/>
          <w:sz w:val="22"/>
          <w:szCs w:val="22"/>
          <w:lang w:val="en-SE"/>
        </w:rPr>
      </w:pPr>
      <w:hyperlink w:anchor="_Toc127439777" w:history="1">
        <w:r w:rsidRPr="003F7C1D">
          <w:rPr>
            <w:rStyle w:val="Hyperlink"/>
            <w:noProof/>
          </w:rPr>
          <w:t>Proposal 2</w:t>
        </w:r>
        <w:r>
          <w:rPr>
            <w:rFonts w:asciiTheme="minorHAnsi" w:eastAsiaTheme="minorEastAsia" w:hAnsiTheme="minorHAnsi" w:cstheme="minorBidi"/>
            <w:b w:val="0"/>
            <w:noProof/>
            <w:sz w:val="22"/>
            <w:szCs w:val="22"/>
            <w:lang w:val="en-SE"/>
          </w:rPr>
          <w:tab/>
        </w:r>
        <w:r w:rsidRPr="003F7C1D">
          <w:rPr>
            <w:rStyle w:val="Hyperlink"/>
            <w:noProof/>
          </w:rPr>
          <w:t>Further coordination between MN and SN for</w:t>
        </w:r>
        <w:r w:rsidRPr="003F7C1D">
          <w:rPr>
            <w:rStyle w:val="Hyperlink"/>
            <w:rFonts w:cs="Arial"/>
            <w:noProof/>
          </w:rPr>
          <w:t xml:space="preserve"> UE IDC report is not supported apart from the existing coordination mechanism (</w:t>
        </w:r>
        <w:r w:rsidRPr="003F7C1D">
          <w:rPr>
            <w:rStyle w:val="Hyperlink"/>
            <w:rFonts w:ascii="Calibri" w:hAnsi="Calibri" w:cs="Calibri"/>
            <w:noProof/>
            <w:lang w:val="en-US" w:eastAsia="en-US"/>
          </w:rPr>
          <w:t xml:space="preserve">i.e., </w:t>
        </w:r>
        <w:r w:rsidRPr="003F7C1D">
          <w:rPr>
            <w:rStyle w:val="Hyperlink"/>
            <w:rFonts w:cs="Arial"/>
            <w:i/>
            <w:iCs/>
            <w:noProof/>
            <w:lang w:val="en-US" w:eastAsia="en-US"/>
          </w:rPr>
          <w:t xml:space="preserve">affectedCarrierFreqCombInfoListMRDC </w:t>
        </w:r>
        <w:r w:rsidRPr="003F7C1D">
          <w:rPr>
            <w:rStyle w:val="Hyperlink"/>
            <w:rFonts w:cs="Arial"/>
            <w:noProof/>
            <w:lang w:val="en-US" w:eastAsia="en-US"/>
          </w:rPr>
          <w:t>in</w:t>
        </w:r>
        <w:r w:rsidRPr="003F7C1D">
          <w:rPr>
            <w:rStyle w:val="Hyperlink"/>
            <w:rFonts w:cs="Arial"/>
            <w:i/>
            <w:iCs/>
            <w:noProof/>
            <w:lang w:val="en-US" w:eastAsia="en-US"/>
          </w:rPr>
          <w:t xml:space="preserve"> </w:t>
        </w:r>
        <w:r w:rsidRPr="003F7C1D">
          <w:rPr>
            <w:rStyle w:val="Hyperlink"/>
            <w:rFonts w:cs="Arial"/>
            <w:i/>
            <w:iCs/>
            <w:noProof/>
            <w:lang w:eastAsia="sv-SE"/>
          </w:rPr>
          <w:t>CG-ConfigInfo</w:t>
        </w:r>
        <w:r w:rsidRPr="003F7C1D">
          <w:rPr>
            <w:rStyle w:val="Hyperlink"/>
            <w:rFonts w:cs="Arial"/>
            <w:noProof/>
          </w:rPr>
          <w:t xml:space="preserve"> for EN-DC).</w:t>
        </w:r>
      </w:hyperlink>
    </w:p>
    <w:p w14:paraId="43102504" w14:textId="4E18C523" w:rsidR="00D006B4" w:rsidRDefault="00D006B4">
      <w:pPr>
        <w:pStyle w:val="TableofFigures"/>
        <w:tabs>
          <w:tab w:val="right" w:leader="dot" w:pos="9629"/>
        </w:tabs>
        <w:rPr>
          <w:rFonts w:asciiTheme="minorHAnsi" w:eastAsiaTheme="minorEastAsia" w:hAnsiTheme="minorHAnsi" w:cstheme="minorBidi"/>
          <w:b w:val="0"/>
          <w:noProof/>
          <w:sz w:val="22"/>
          <w:szCs w:val="22"/>
          <w:lang w:val="en-SE"/>
        </w:rPr>
      </w:pPr>
      <w:hyperlink w:anchor="_Toc127439778" w:history="1">
        <w:r w:rsidRPr="003F7C1D">
          <w:rPr>
            <w:rStyle w:val="Hyperlink"/>
            <w:noProof/>
          </w:rPr>
          <w:t>Proposal 3</w:t>
        </w:r>
        <w:r>
          <w:rPr>
            <w:rFonts w:asciiTheme="minorHAnsi" w:eastAsiaTheme="minorEastAsia" w:hAnsiTheme="minorHAnsi" w:cstheme="minorBidi"/>
            <w:b w:val="0"/>
            <w:noProof/>
            <w:sz w:val="22"/>
            <w:szCs w:val="22"/>
            <w:lang w:val="en-SE"/>
          </w:rPr>
          <w:tab/>
        </w:r>
        <w:r w:rsidRPr="003F7C1D">
          <w:rPr>
            <w:rStyle w:val="Hyperlink"/>
            <w:noProof/>
          </w:rPr>
          <w:t>Upon detecting IMD issue for carriers across MCG and SCG, it is up to UE implementation to determine to report only the affected frequencies and bandwidth in the MCG to the MN or affected frequencies and bandwidth in SCG to the SN</w:t>
        </w:r>
        <w:r w:rsidRPr="003F7C1D">
          <w:rPr>
            <w:rStyle w:val="Hyperlink"/>
            <w:rFonts w:cs="Arial"/>
            <w:noProof/>
          </w:rPr>
          <w:t>.</w:t>
        </w:r>
      </w:hyperlink>
    </w:p>
    <w:p w14:paraId="5D68F36D" w14:textId="36761AC4" w:rsidR="00D006B4" w:rsidRDefault="00D006B4">
      <w:pPr>
        <w:pStyle w:val="TableofFigures"/>
        <w:tabs>
          <w:tab w:val="right" w:leader="dot" w:pos="9629"/>
        </w:tabs>
        <w:rPr>
          <w:rFonts w:asciiTheme="minorHAnsi" w:eastAsiaTheme="minorEastAsia" w:hAnsiTheme="minorHAnsi" w:cstheme="minorBidi"/>
          <w:b w:val="0"/>
          <w:noProof/>
          <w:sz w:val="22"/>
          <w:szCs w:val="22"/>
          <w:lang w:val="en-SE"/>
        </w:rPr>
      </w:pPr>
      <w:hyperlink w:anchor="_Toc127439779" w:history="1">
        <w:r w:rsidRPr="003F7C1D">
          <w:rPr>
            <w:rStyle w:val="Hyperlink"/>
            <w:noProof/>
          </w:rPr>
          <w:t>Proposal 4</w:t>
        </w:r>
        <w:r>
          <w:rPr>
            <w:rFonts w:asciiTheme="minorHAnsi" w:eastAsiaTheme="minorEastAsia" w:hAnsiTheme="minorHAnsi" w:cstheme="minorBidi"/>
            <w:b w:val="0"/>
            <w:noProof/>
            <w:sz w:val="22"/>
            <w:szCs w:val="22"/>
            <w:lang w:val="en-SE"/>
          </w:rPr>
          <w:tab/>
        </w:r>
        <w:r w:rsidRPr="003F7C1D">
          <w:rPr>
            <w:rStyle w:val="Hyperlink"/>
            <w:noProof/>
          </w:rPr>
          <w:t>Capture in the Stage 2 spec (i.e., TS 36.300 and/or TS 38.300) that it is up to UE implementation to determine to report only the affected frequencies and bandwidth in the MCG to the MN or affected frequencies and bandwidth in the SCG to the SN, upon detecting IMD issue for carriers across MCG and SCG</w:t>
        </w:r>
        <w:r w:rsidRPr="003F7C1D">
          <w:rPr>
            <w:rStyle w:val="Hyperlink"/>
            <w:rFonts w:cs="Arial"/>
            <w:noProof/>
          </w:rPr>
          <w:t>.</w:t>
        </w:r>
      </w:hyperlink>
    </w:p>
    <w:p w14:paraId="0307436E" w14:textId="3FAE95B0" w:rsidR="006E1C82" w:rsidRPr="00CE0424" w:rsidRDefault="006E1C82" w:rsidP="006E1C82">
      <w:pPr>
        <w:pStyle w:val="BodyText"/>
        <w:rPr>
          <w:b/>
          <w:bCs/>
        </w:rPr>
      </w:pPr>
      <w:r>
        <w:rPr>
          <w:b/>
          <w:bCs/>
          <w:lang w:val="en-US"/>
        </w:rPr>
        <w:fldChar w:fldCharType="end"/>
      </w:r>
      <w:r w:rsidRPr="00CE0424">
        <w:rPr>
          <w:b/>
          <w:bCs/>
        </w:rPr>
        <w:t xml:space="preserve"> </w:t>
      </w:r>
    </w:p>
    <w:p w14:paraId="1C89EFA4" w14:textId="77777777" w:rsidR="001C49A6" w:rsidRPr="00F011B0" w:rsidRDefault="001C49A6" w:rsidP="001C49A6">
      <w:pPr>
        <w:pStyle w:val="Heading1"/>
      </w:pPr>
      <w:r>
        <w:t xml:space="preserve">4 </w:t>
      </w:r>
      <w:r w:rsidRPr="00F011B0">
        <w:t>References</w:t>
      </w:r>
    </w:p>
    <w:p w14:paraId="132AA27E" w14:textId="24E68DDF" w:rsidR="001C49A6" w:rsidRPr="00BE0841" w:rsidRDefault="001C49A6" w:rsidP="001C49A6">
      <w:pPr>
        <w:rPr>
          <w:lang w:val="en-US"/>
        </w:rPr>
      </w:pPr>
      <w:r>
        <w:rPr>
          <w:rFonts w:ascii="Arial" w:eastAsia="Calibri" w:hAnsi="Arial" w:cs="Arial"/>
          <w:lang w:val="en-US" w:eastAsia="en-US"/>
        </w:rPr>
        <w:t xml:space="preserve">[1] </w:t>
      </w:r>
      <w:r w:rsidRPr="00940FAD">
        <w:rPr>
          <w:rFonts w:ascii="Arial" w:eastAsia="Calibri" w:hAnsi="Arial" w:cs="Arial"/>
          <w:lang w:val="en-US" w:eastAsia="en-US"/>
        </w:rPr>
        <w:t>R2-22xxxxx</w:t>
      </w:r>
      <w:r>
        <w:rPr>
          <w:rFonts w:ascii="Arial" w:eastAsia="Calibri" w:hAnsi="Arial" w:cs="Arial"/>
          <w:lang w:val="en-US" w:eastAsia="en-US"/>
        </w:rPr>
        <w:t xml:space="preserve">, </w:t>
      </w:r>
      <w:r w:rsidR="0092657A">
        <w:rPr>
          <w:rFonts w:ascii="Arial" w:eastAsia="Calibri" w:hAnsi="Arial" w:cs="Arial"/>
          <w:lang w:val="en-US" w:eastAsia="en-US"/>
        </w:rPr>
        <w:t>summary of [</w:t>
      </w:r>
      <w:r w:rsidR="0092657A" w:rsidRPr="006E6A8D">
        <w:rPr>
          <w:rFonts w:cs="Arial"/>
        </w:rPr>
        <w:t>Post120][</w:t>
      </w:r>
      <w:proofErr w:type="gramStart"/>
      <w:r w:rsidR="0092657A" w:rsidRPr="006E6A8D">
        <w:rPr>
          <w:rFonts w:cs="Arial"/>
        </w:rPr>
        <w:t>652][</w:t>
      </w:r>
      <w:proofErr w:type="gramEnd"/>
      <w:r w:rsidR="0092657A" w:rsidRPr="006E6A8D">
        <w:rPr>
          <w:rFonts w:cs="Arial"/>
        </w:rPr>
        <w:t>IDC] Further details of FDM solution (Huawei)</w:t>
      </w:r>
      <w:r>
        <w:rPr>
          <w:rFonts w:ascii="Arial" w:eastAsia="Calibri" w:hAnsi="Arial" w:cs="Arial"/>
          <w:lang w:val="en-US" w:eastAsia="en-US"/>
        </w:rPr>
        <w:t xml:space="preserve">, </w:t>
      </w:r>
      <w:r w:rsidR="0092657A">
        <w:rPr>
          <w:rFonts w:ascii="Arial" w:eastAsia="Calibri" w:hAnsi="Arial" w:cs="Arial"/>
          <w:lang w:val="en-US" w:eastAsia="en-US"/>
        </w:rPr>
        <w:t>Huawei</w:t>
      </w:r>
    </w:p>
    <w:p w14:paraId="75A2579A" w14:textId="0D77E0B2" w:rsidR="00CE706A" w:rsidRPr="00CE0424" w:rsidRDefault="00CE706A" w:rsidP="00CE0424">
      <w:pPr>
        <w:pStyle w:val="BodyText"/>
      </w:pPr>
    </w:p>
    <w:sectPr w:rsidR="00CE706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11CA9" w14:textId="77777777" w:rsidR="005F2571" w:rsidRDefault="005F2571">
      <w:r>
        <w:separator/>
      </w:r>
    </w:p>
  </w:endnote>
  <w:endnote w:type="continuationSeparator" w:id="0">
    <w:p w14:paraId="036E6806" w14:textId="77777777" w:rsidR="005F2571" w:rsidRDefault="005F2571">
      <w:r>
        <w:continuationSeparator/>
      </w:r>
    </w:p>
  </w:endnote>
  <w:endnote w:type="continuationNotice" w:id="1">
    <w:p w14:paraId="3FABE28F" w14:textId="77777777" w:rsidR="005F2571" w:rsidRDefault="005F25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F9687" w14:textId="77777777" w:rsidR="005F2571" w:rsidRDefault="005F2571">
      <w:r>
        <w:separator/>
      </w:r>
    </w:p>
  </w:footnote>
  <w:footnote w:type="continuationSeparator" w:id="0">
    <w:p w14:paraId="0DEAFD24" w14:textId="77777777" w:rsidR="005F2571" w:rsidRDefault="005F2571">
      <w:r>
        <w:continuationSeparator/>
      </w:r>
    </w:p>
  </w:footnote>
  <w:footnote w:type="continuationNotice" w:id="1">
    <w:p w14:paraId="4C4C84BE" w14:textId="77777777" w:rsidR="005F2571" w:rsidRDefault="005F25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818128B"/>
    <w:multiLevelType w:val="hybridMultilevel"/>
    <w:tmpl w:val="C01EEBEE"/>
    <w:lvl w:ilvl="0" w:tplc="BE6CE46A">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7143489">
    <w:abstractNumId w:val="4"/>
  </w:num>
  <w:num w:numId="2" w16cid:durableId="424108159">
    <w:abstractNumId w:val="18"/>
  </w:num>
  <w:num w:numId="3" w16cid:durableId="1887062602">
    <w:abstractNumId w:val="14"/>
  </w:num>
  <w:num w:numId="4" w16cid:durableId="2039502550">
    <w:abstractNumId w:val="15"/>
  </w:num>
  <w:num w:numId="5" w16cid:durableId="831028267">
    <w:abstractNumId w:val="11"/>
  </w:num>
  <w:num w:numId="6" w16cid:durableId="2142385741">
    <w:abstractNumId w:val="17"/>
  </w:num>
  <w:num w:numId="7" w16cid:durableId="1101755766">
    <w:abstractNumId w:val="23"/>
  </w:num>
  <w:num w:numId="8" w16cid:durableId="161506473">
    <w:abstractNumId w:val="12"/>
  </w:num>
  <w:num w:numId="9" w16cid:durableId="1973828397">
    <w:abstractNumId w:val="9"/>
  </w:num>
  <w:num w:numId="10" w16cid:durableId="475992658">
    <w:abstractNumId w:val="2"/>
  </w:num>
  <w:num w:numId="11" w16cid:durableId="2094814152">
    <w:abstractNumId w:val="1"/>
  </w:num>
  <w:num w:numId="12" w16cid:durableId="1163353504">
    <w:abstractNumId w:val="0"/>
  </w:num>
  <w:num w:numId="13" w16cid:durableId="1070427470">
    <w:abstractNumId w:val="20"/>
  </w:num>
  <w:num w:numId="14" w16cid:durableId="1563902434">
    <w:abstractNumId w:val="22"/>
  </w:num>
  <w:num w:numId="15" w16cid:durableId="1656255395">
    <w:abstractNumId w:val="16"/>
  </w:num>
  <w:num w:numId="16" w16cid:durableId="934439239">
    <w:abstractNumId w:val="25"/>
  </w:num>
  <w:num w:numId="17" w16cid:durableId="1483962066">
    <w:abstractNumId w:val="6"/>
  </w:num>
  <w:num w:numId="18" w16cid:durableId="260643738">
    <w:abstractNumId w:val="7"/>
  </w:num>
  <w:num w:numId="19" w16cid:durableId="1840844434">
    <w:abstractNumId w:val="5"/>
  </w:num>
  <w:num w:numId="20" w16cid:durableId="1819565809">
    <w:abstractNumId w:val="28"/>
  </w:num>
  <w:num w:numId="21" w16cid:durableId="1789086202">
    <w:abstractNumId w:val="13"/>
  </w:num>
  <w:num w:numId="22" w16cid:durableId="189151271">
    <w:abstractNumId w:val="26"/>
  </w:num>
  <w:num w:numId="23" w16cid:durableId="147537324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47279876">
    <w:abstractNumId w:val="19"/>
  </w:num>
  <w:num w:numId="25" w16cid:durableId="1915236515">
    <w:abstractNumId w:val="24"/>
  </w:num>
  <w:num w:numId="26" w16cid:durableId="703673524">
    <w:abstractNumId w:val="8"/>
  </w:num>
  <w:num w:numId="27" w16cid:durableId="542905661">
    <w:abstractNumId w:val="10"/>
  </w:num>
  <w:num w:numId="28" w16cid:durableId="350956461">
    <w:abstractNumId w:val="30"/>
  </w:num>
  <w:num w:numId="29" w16cid:durableId="2049837120">
    <w:abstractNumId w:val="29"/>
  </w:num>
  <w:num w:numId="30" w16cid:durableId="10786734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5139528">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16328"/>
    <w:rsid w:val="00016E86"/>
    <w:rsid w:val="0002564D"/>
    <w:rsid w:val="00025ECA"/>
    <w:rsid w:val="0003083B"/>
    <w:rsid w:val="00031B1E"/>
    <w:rsid w:val="000325B8"/>
    <w:rsid w:val="00034C15"/>
    <w:rsid w:val="00036BA1"/>
    <w:rsid w:val="00041ECA"/>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7D1"/>
    <w:rsid w:val="00085B52"/>
    <w:rsid w:val="000866F2"/>
    <w:rsid w:val="0009009F"/>
    <w:rsid w:val="00091557"/>
    <w:rsid w:val="000915A4"/>
    <w:rsid w:val="000924C1"/>
    <w:rsid w:val="000924F0"/>
    <w:rsid w:val="00093474"/>
    <w:rsid w:val="0009510F"/>
    <w:rsid w:val="000A1B7B"/>
    <w:rsid w:val="000A56F2"/>
    <w:rsid w:val="000B2719"/>
    <w:rsid w:val="000B3A8F"/>
    <w:rsid w:val="000B4AB9"/>
    <w:rsid w:val="000B58C3"/>
    <w:rsid w:val="000B61E9"/>
    <w:rsid w:val="000C165A"/>
    <w:rsid w:val="000C2E19"/>
    <w:rsid w:val="000C720D"/>
    <w:rsid w:val="000D0D07"/>
    <w:rsid w:val="000D4797"/>
    <w:rsid w:val="000E0527"/>
    <w:rsid w:val="000E1E92"/>
    <w:rsid w:val="000F06D6"/>
    <w:rsid w:val="000F0EB1"/>
    <w:rsid w:val="000F1106"/>
    <w:rsid w:val="000F3BE9"/>
    <w:rsid w:val="000F3F6C"/>
    <w:rsid w:val="000F6DF3"/>
    <w:rsid w:val="000F74D6"/>
    <w:rsid w:val="001005FF"/>
    <w:rsid w:val="00105C6B"/>
    <w:rsid w:val="001062FB"/>
    <w:rsid w:val="001063E6"/>
    <w:rsid w:val="00113CF4"/>
    <w:rsid w:val="001153EA"/>
    <w:rsid w:val="00115643"/>
    <w:rsid w:val="00116765"/>
    <w:rsid w:val="001219F5"/>
    <w:rsid w:val="00121A20"/>
    <w:rsid w:val="0012377F"/>
    <w:rsid w:val="00124314"/>
    <w:rsid w:val="00126B4A"/>
    <w:rsid w:val="00132C53"/>
    <w:rsid w:val="00132FD0"/>
    <w:rsid w:val="001344C0"/>
    <w:rsid w:val="001346FA"/>
    <w:rsid w:val="00135252"/>
    <w:rsid w:val="00137AB5"/>
    <w:rsid w:val="00137F0B"/>
    <w:rsid w:val="00142A80"/>
    <w:rsid w:val="00146FDC"/>
    <w:rsid w:val="00151E23"/>
    <w:rsid w:val="001526E0"/>
    <w:rsid w:val="001551B5"/>
    <w:rsid w:val="001659C1"/>
    <w:rsid w:val="00173A8E"/>
    <w:rsid w:val="001749B7"/>
    <w:rsid w:val="0017502C"/>
    <w:rsid w:val="0018143F"/>
    <w:rsid w:val="00181FF8"/>
    <w:rsid w:val="00186969"/>
    <w:rsid w:val="00190AC1"/>
    <w:rsid w:val="0019341A"/>
    <w:rsid w:val="00194387"/>
    <w:rsid w:val="00197DF9"/>
    <w:rsid w:val="001A1987"/>
    <w:rsid w:val="001A2564"/>
    <w:rsid w:val="001A53BB"/>
    <w:rsid w:val="001A6173"/>
    <w:rsid w:val="001A6CBA"/>
    <w:rsid w:val="001A7D4E"/>
    <w:rsid w:val="001B0D97"/>
    <w:rsid w:val="001B550E"/>
    <w:rsid w:val="001B5A5D"/>
    <w:rsid w:val="001C1CE5"/>
    <w:rsid w:val="001C3D2A"/>
    <w:rsid w:val="001C49A6"/>
    <w:rsid w:val="001C5CB8"/>
    <w:rsid w:val="001C620B"/>
    <w:rsid w:val="001C68EE"/>
    <w:rsid w:val="001D2926"/>
    <w:rsid w:val="001D51BA"/>
    <w:rsid w:val="001D53E7"/>
    <w:rsid w:val="001D59EF"/>
    <w:rsid w:val="001D6342"/>
    <w:rsid w:val="001D6D53"/>
    <w:rsid w:val="001E58E2"/>
    <w:rsid w:val="001E7AED"/>
    <w:rsid w:val="001F06FE"/>
    <w:rsid w:val="001F1404"/>
    <w:rsid w:val="001F3916"/>
    <w:rsid w:val="001F54C5"/>
    <w:rsid w:val="001F662C"/>
    <w:rsid w:val="001F7074"/>
    <w:rsid w:val="001F78F8"/>
    <w:rsid w:val="00200490"/>
    <w:rsid w:val="00201F3A"/>
    <w:rsid w:val="00203F96"/>
    <w:rsid w:val="002069B2"/>
    <w:rsid w:val="00207FA3"/>
    <w:rsid w:val="00210854"/>
    <w:rsid w:val="00211044"/>
    <w:rsid w:val="00214DA8"/>
    <w:rsid w:val="00215423"/>
    <w:rsid w:val="002158FA"/>
    <w:rsid w:val="002168D2"/>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3B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4351"/>
    <w:rsid w:val="002D071A"/>
    <w:rsid w:val="002D34B2"/>
    <w:rsid w:val="002D48B0"/>
    <w:rsid w:val="002D5B37"/>
    <w:rsid w:val="002D7637"/>
    <w:rsid w:val="002E17F2"/>
    <w:rsid w:val="002E58A4"/>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268"/>
    <w:rsid w:val="00324D23"/>
    <w:rsid w:val="003267B7"/>
    <w:rsid w:val="00331751"/>
    <w:rsid w:val="00334579"/>
    <w:rsid w:val="00335858"/>
    <w:rsid w:val="00336BDA"/>
    <w:rsid w:val="00336F44"/>
    <w:rsid w:val="00342BD7"/>
    <w:rsid w:val="00346DB5"/>
    <w:rsid w:val="003477B1"/>
    <w:rsid w:val="00357380"/>
    <w:rsid w:val="003602D9"/>
    <w:rsid w:val="003604CE"/>
    <w:rsid w:val="00362BCB"/>
    <w:rsid w:val="00370E47"/>
    <w:rsid w:val="003742AC"/>
    <w:rsid w:val="00377CE1"/>
    <w:rsid w:val="00385BF0"/>
    <w:rsid w:val="00392A23"/>
    <w:rsid w:val="003939FF"/>
    <w:rsid w:val="003A2223"/>
    <w:rsid w:val="003A2A0F"/>
    <w:rsid w:val="003A45A1"/>
    <w:rsid w:val="003A5B0A"/>
    <w:rsid w:val="003A6BAC"/>
    <w:rsid w:val="003A70A4"/>
    <w:rsid w:val="003A7EF3"/>
    <w:rsid w:val="003B1091"/>
    <w:rsid w:val="003B159C"/>
    <w:rsid w:val="003B369F"/>
    <w:rsid w:val="003B36A3"/>
    <w:rsid w:val="003B64BB"/>
    <w:rsid w:val="003B7FE5"/>
    <w:rsid w:val="003C11C8"/>
    <w:rsid w:val="003C2702"/>
    <w:rsid w:val="003C7806"/>
    <w:rsid w:val="003C7A69"/>
    <w:rsid w:val="003D109F"/>
    <w:rsid w:val="003D2478"/>
    <w:rsid w:val="003D3C45"/>
    <w:rsid w:val="003D3DC5"/>
    <w:rsid w:val="003D4B1A"/>
    <w:rsid w:val="003D5B1F"/>
    <w:rsid w:val="003E15FA"/>
    <w:rsid w:val="003E55E4"/>
    <w:rsid w:val="003E74E3"/>
    <w:rsid w:val="003F05C7"/>
    <w:rsid w:val="003F2CD4"/>
    <w:rsid w:val="003F6BBE"/>
    <w:rsid w:val="003F79C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6C8F"/>
    <w:rsid w:val="00437447"/>
    <w:rsid w:val="00441A92"/>
    <w:rsid w:val="004431DC"/>
    <w:rsid w:val="00444F56"/>
    <w:rsid w:val="00446488"/>
    <w:rsid w:val="004517AA"/>
    <w:rsid w:val="00452268"/>
    <w:rsid w:val="00452CAC"/>
    <w:rsid w:val="0045442F"/>
    <w:rsid w:val="00457565"/>
    <w:rsid w:val="00457B71"/>
    <w:rsid w:val="00465C32"/>
    <w:rsid w:val="004669E2"/>
    <w:rsid w:val="00470C31"/>
    <w:rsid w:val="00471DE0"/>
    <w:rsid w:val="004734D0"/>
    <w:rsid w:val="0047556B"/>
    <w:rsid w:val="00477768"/>
    <w:rsid w:val="00492BC5"/>
    <w:rsid w:val="004964F1"/>
    <w:rsid w:val="004A16BC"/>
    <w:rsid w:val="004A2B94"/>
    <w:rsid w:val="004A4BBF"/>
    <w:rsid w:val="004B4CA7"/>
    <w:rsid w:val="004B6F6A"/>
    <w:rsid w:val="004B7C0C"/>
    <w:rsid w:val="004C14A9"/>
    <w:rsid w:val="004C3898"/>
    <w:rsid w:val="004C7C4C"/>
    <w:rsid w:val="004D1DBC"/>
    <w:rsid w:val="004D36B1"/>
    <w:rsid w:val="004D7EBD"/>
    <w:rsid w:val="004E2680"/>
    <w:rsid w:val="004E28F9"/>
    <w:rsid w:val="004E462E"/>
    <w:rsid w:val="004E4E84"/>
    <w:rsid w:val="004E56DC"/>
    <w:rsid w:val="004E76F4"/>
    <w:rsid w:val="004F0B4E"/>
    <w:rsid w:val="004F0B6C"/>
    <w:rsid w:val="004F2078"/>
    <w:rsid w:val="004F247E"/>
    <w:rsid w:val="004F4DA3"/>
    <w:rsid w:val="005006BB"/>
    <w:rsid w:val="00504218"/>
    <w:rsid w:val="00506557"/>
    <w:rsid w:val="0050677A"/>
    <w:rsid w:val="005108D8"/>
    <w:rsid w:val="00510D3F"/>
    <w:rsid w:val="005116F9"/>
    <w:rsid w:val="005153A7"/>
    <w:rsid w:val="005179CC"/>
    <w:rsid w:val="005219CF"/>
    <w:rsid w:val="00523F93"/>
    <w:rsid w:val="00534B59"/>
    <w:rsid w:val="00536759"/>
    <w:rsid w:val="00537C62"/>
    <w:rsid w:val="005402C5"/>
    <w:rsid w:val="00546970"/>
    <w:rsid w:val="00546F86"/>
    <w:rsid w:val="00554E19"/>
    <w:rsid w:val="0056121F"/>
    <w:rsid w:val="00565788"/>
    <w:rsid w:val="0056757A"/>
    <w:rsid w:val="00572505"/>
    <w:rsid w:val="0057323F"/>
    <w:rsid w:val="00576095"/>
    <w:rsid w:val="00582809"/>
    <w:rsid w:val="005830F1"/>
    <w:rsid w:val="0058798C"/>
    <w:rsid w:val="005900FA"/>
    <w:rsid w:val="005935A4"/>
    <w:rsid w:val="005948C2"/>
    <w:rsid w:val="00595DCA"/>
    <w:rsid w:val="00596806"/>
    <w:rsid w:val="0059779B"/>
    <w:rsid w:val="005A209A"/>
    <w:rsid w:val="005A662D"/>
    <w:rsid w:val="005B1409"/>
    <w:rsid w:val="005B35D7"/>
    <w:rsid w:val="005B392A"/>
    <w:rsid w:val="005B3AA3"/>
    <w:rsid w:val="005B6F83"/>
    <w:rsid w:val="005C3297"/>
    <w:rsid w:val="005C74FB"/>
    <w:rsid w:val="005D1602"/>
    <w:rsid w:val="005E385F"/>
    <w:rsid w:val="005E5B81"/>
    <w:rsid w:val="005F2571"/>
    <w:rsid w:val="005F2CB1"/>
    <w:rsid w:val="005F3025"/>
    <w:rsid w:val="005F5FC2"/>
    <w:rsid w:val="005F618C"/>
    <w:rsid w:val="005F70BD"/>
    <w:rsid w:val="005F7D8B"/>
    <w:rsid w:val="0060283C"/>
    <w:rsid w:val="00604F14"/>
    <w:rsid w:val="0060638D"/>
    <w:rsid w:val="00611B83"/>
    <w:rsid w:val="00613257"/>
    <w:rsid w:val="00620A71"/>
    <w:rsid w:val="00620D80"/>
    <w:rsid w:val="006234A6"/>
    <w:rsid w:val="00630001"/>
    <w:rsid w:val="006311B3"/>
    <w:rsid w:val="0063284C"/>
    <w:rsid w:val="00634CC1"/>
    <w:rsid w:val="00636398"/>
    <w:rsid w:val="006368D3"/>
    <w:rsid w:val="006377EC"/>
    <w:rsid w:val="00641389"/>
    <w:rsid w:val="0064151F"/>
    <w:rsid w:val="00641533"/>
    <w:rsid w:val="0064208D"/>
    <w:rsid w:val="00643475"/>
    <w:rsid w:val="0064396A"/>
    <w:rsid w:val="0064615C"/>
    <w:rsid w:val="0064624E"/>
    <w:rsid w:val="00650AB9"/>
    <w:rsid w:val="00655733"/>
    <w:rsid w:val="00655ACD"/>
    <w:rsid w:val="00656A92"/>
    <w:rsid w:val="00656DDE"/>
    <w:rsid w:val="0066011D"/>
    <w:rsid w:val="006607C0"/>
    <w:rsid w:val="006613A6"/>
    <w:rsid w:val="006627A2"/>
    <w:rsid w:val="006634E6"/>
    <w:rsid w:val="006655EE"/>
    <w:rsid w:val="00665752"/>
    <w:rsid w:val="0066755F"/>
    <w:rsid w:val="00667EE7"/>
    <w:rsid w:val="00670922"/>
    <w:rsid w:val="00670BE1"/>
    <w:rsid w:val="0067218F"/>
    <w:rsid w:val="006741F2"/>
    <w:rsid w:val="006746FA"/>
    <w:rsid w:val="00674CC3"/>
    <w:rsid w:val="00675C72"/>
    <w:rsid w:val="006771F9"/>
    <w:rsid w:val="006776D7"/>
    <w:rsid w:val="00681003"/>
    <w:rsid w:val="006817C9"/>
    <w:rsid w:val="00683ECE"/>
    <w:rsid w:val="0069139F"/>
    <w:rsid w:val="006936C6"/>
    <w:rsid w:val="00695D56"/>
    <w:rsid w:val="00695FC2"/>
    <w:rsid w:val="00696949"/>
    <w:rsid w:val="00697052"/>
    <w:rsid w:val="006A46FB"/>
    <w:rsid w:val="006A5E28"/>
    <w:rsid w:val="006A697B"/>
    <w:rsid w:val="006A724C"/>
    <w:rsid w:val="006A7AFF"/>
    <w:rsid w:val="006B15D8"/>
    <w:rsid w:val="006B1816"/>
    <w:rsid w:val="006B2099"/>
    <w:rsid w:val="006B50CF"/>
    <w:rsid w:val="006B7D60"/>
    <w:rsid w:val="006C03B8"/>
    <w:rsid w:val="006C0402"/>
    <w:rsid w:val="006C2053"/>
    <w:rsid w:val="006C5EC9"/>
    <w:rsid w:val="006C6022"/>
    <w:rsid w:val="006C6059"/>
    <w:rsid w:val="006C7522"/>
    <w:rsid w:val="006D628E"/>
    <w:rsid w:val="006D6F08"/>
    <w:rsid w:val="006E062C"/>
    <w:rsid w:val="006E1C82"/>
    <w:rsid w:val="006E28B7"/>
    <w:rsid w:val="006E2A9B"/>
    <w:rsid w:val="006E2ECE"/>
    <w:rsid w:val="006E3310"/>
    <w:rsid w:val="006E4E39"/>
    <w:rsid w:val="006E565E"/>
    <w:rsid w:val="006E5CDA"/>
    <w:rsid w:val="006E673D"/>
    <w:rsid w:val="006E7D3B"/>
    <w:rsid w:val="006F1B70"/>
    <w:rsid w:val="006F341D"/>
    <w:rsid w:val="006F3CDE"/>
    <w:rsid w:val="006F5065"/>
    <w:rsid w:val="006F58D4"/>
    <w:rsid w:val="006F6582"/>
    <w:rsid w:val="0070346E"/>
    <w:rsid w:val="00704EDB"/>
    <w:rsid w:val="00705374"/>
    <w:rsid w:val="00706101"/>
    <w:rsid w:val="00707072"/>
    <w:rsid w:val="00707D61"/>
    <w:rsid w:val="00712287"/>
    <w:rsid w:val="00712772"/>
    <w:rsid w:val="007148D3"/>
    <w:rsid w:val="00715B9A"/>
    <w:rsid w:val="00716526"/>
    <w:rsid w:val="0071673D"/>
    <w:rsid w:val="007257D0"/>
    <w:rsid w:val="00726EA6"/>
    <w:rsid w:val="00727208"/>
    <w:rsid w:val="00727680"/>
    <w:rsid w:val="00733AEC"/>
    <w:rsid w:val="007348B1"/>
    <w:rsid w:val="007362A6"/>
    <w:rsid w:val="00736D7D"/>
    <w:rsid w:val="00740E58"/>
    <w:rsid w:val="007445A0"/>
    <w:rsid w:val="0074524B"/>
    <w:rsid w:val="00747D8B"/>
    <w:rsid w:val="00751228"/>
    <w:rsid w:val="00751F91"/>
    <w:rsid w:val="007571E1"/>
    <w:rsid w:val="00757A16"/>
    <w:rsid w:val="007604B2"/>
    <w:rsid w:val="00765281"/>
    <w:rsid w:val="00766BAD"/>
    <w:rsid w:val="007704B4"/>
    <w:rsid w:val="0077115C"/>
    <w:rsid w:val="007729A2"/>
    <w:rsid w:val="007755F2"/>
    <w:rsid w:val="00776971"/>
    <w:rsid w:val="00780A80"/>
    <w:rsid w:val="0078177E"/>
    <w:rsid w:val="0078304C"/>
    <w:rsid w:val="00783673"/>
    <w:rsid w:val="00785490"/>
    <w:rsid w:val="007925EA"/>
    <w:rsid w:val="00793CD8"/>
    <w:rsid w:val="00795C92"/>
    <w:rsid w:val="00795D0A"/>
    <w:rsid w:val="00796231"/>
    <w:rsid w:val="007A1CB3"/>
    <w:rsid w:val="007A306F"/>
    <w:rsid w:val="007A43A6"/>
    <w:rsid w:val="007A58A6"/>
    <w:rsid w:val="007B0088"/>
    <w:rsid w:val="007B3D2D"/>
    <w:rsid w:val="007B50AE"/>
    <w:rsid w:val="007B51DF"/>
    <w:rsid w:val="007B7AAC"/>
    <w:rsid w:val="007C05DD"/>
    <w:rsid w:val="007C39F5"/>
    <w:rsid w:val="007C3D18"/>
    <w:rsid w:val="007C60BF"/>
    <w:rsid w:val="007C6A07"/>
    <w:rsid w:val="007C75A1"/>
    <w:rsid w:val="007C77A5"/>
    <w:rsid w:val="007D04E5"/>
    <w:rsid w:val="007D4174"/>
    <w:rsid w:val="007D482F"/>
    <w:rsid w:val="007D5901"/>
    <w:rsid w:val="007D7526"/>
    <w:rsid w:val="007E4610"/>
    <w:rsid w:val="007E4715"/>
    <w:rsid w:val="007E505B"/>
    <w:rsid w:val="007E621B"/>
    <w:rsid w:val="007E7091"/>
    <w:rsid w:val="007F1F26"/>
    <w:rsid w:val="00803FAE"/>
    <w:rsid w:val="0080605F"/>
    <w:rsid w:val="00806C98"/>
    <w:rsid w:val="00807786"/>
    <w:rsid w:val="00811FCB"/>
    <w:rsid w:val="00813774"/>
    <w:rsid w:val="008158D6"/>
    <w:rsid w:val="00817196"/>
    <w:rsid w:val="008235C8"/>
    <w:rsid w:val="008235DB"/>
    <w:rsid w:val="00824AB4"/>
    <w:rsid w:val="00825C42"/>
    <w:rsid w:val="00825D25"/>
    <w:rsid w:val="00827C1A"/>
    <w:rsid w:val="00827D6F"/>
    <w:rsid w:val="00833E79"/>
    <w:rsid w:val="008376AC"/>
    <w:rsid w:val="00842F7E"/>
    <w:rsid w:val="008444E8"/>
    <w:rsid w:val="00844E80"/>
    <w:rsid w:val="00846FE7"/>
    <w:rsid w:val="00856911"/>
    <w:rsid w:val="008677FD"/>
    <w:rsid w:val="008706D4"/>
    <w:rsid w:val="00870F8A"/>
    <w:rsid w:val="008719A4"/>
    <w:rsid w:val="00871D23"/>
    <w:rsid w:val="00871F7E"/>
    <w:rsid w:val="00874312"/>
    <w:rsid w:val="0087437C"/>
    <w:rsid w:val="00875CD7"/>
    <w:rsid w:val="00876B4D"/>
    <w:rsid w:val="00876C5A"/>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328"/>
    <w:rsid w:val="008C2017"/>
    <w:rsid w:val="008C3270"/>
    <w:rsid w:val="008C3596"/>
    <w:rsid w:val="008C4958"/>
    <w:rsid w:val="008C4BAA"/>
    <w:rsid w:val="008C6AE8"/>
    <w:rsid w:val="008C7573"/>
    <w:rsid w:val="008D00A5"/>
    <w:rsid w:val="008D34F1"/>
    <w:rsid w:val="008D39D8"/>
    <w:rsid w:val="008D6D1A"/>
    <w:rsid w:val="008E065E"/>
    <w:rsid w:val="008E0927"/>
    <w:rsid w:val="008E1909"/>
    <w:rsid w:val="008E7A3C"/>
    <w:rsid w:val="008F06AB"/>
    <w:rsid w:val="008F1EAB"/>
    <w:rsid w:val="008F33DC"/>
    <w:rsid w:val="008F477F"/>
    <w:rsid w:val="00900937"/>
    <w:rsid w:val="00902350"/>
    <w:rsid w:val="00902613"/>
    <w:rsid w:val="0090336B"/>
    <w:rsid w:val="009053AA"/>
    <w:rsid w:val="00906939"/>
    <w:rsid w:val="00910B7D"/>
    <w:rsid w:val="00911DFB"/>
    <w:rsid w:val="00912388"/>
    <w:rsid w:val="009139D9"/>
    <w:rsid w:val="00914AD8"/>
    <w:rsid w:val="00916079"/>
    <w:rsid w:val="00917CE9"/>
    <w:rsid w:val="00920BF2"/>
    <w:rsid w:val="00922010"/>
    <w:rsid w:val="00924FCF"/>
    <w:rsid w:val="0092657A"/>
    <w:rsid w:val="00931BD9"/>
    <w:rsid w:val="009338F6"/>
    <w:rsid w:val="0093408D"/>
    <w:rsid w:val="009368F3"/>
    <w:rsid w:val="00937B32"/>
    <w:rsid w:val="00941636"/>
    <w:rsid w:val="00941983"/>
    <w:rsid w:val="00943742"/>
    <w:rsid w:val="00945C05"/>
    <w:rsid w:val="00946945"/>
    <w:rsid w:val="00947713"/>
    <w:rsid w:val="00950DE7"/>
    <w:rsid w:val="00951617"/>
    <w:rsid w:val="00951F05"/>
    <w:rsid w:val="00953920"/>
    <w:rsid w:val="00953D47"/>
    <w:rsid w:val="0095681E"/>
    <w:rsid w:val="009572D4"/>
    <w:rsid w:val="00961921"/>
    <w:rsid w:val="0096430A"/>
    <w:rsid w:val="0096554B"/>
    <w:rsid w:val="0096584A"/>
    <w:rsid w:val="0097014A"/>
    <w:rsid w:val="00970ACB"/>
    <w:rsid w:val="00971F08"/>
    <w:rsid w:val="0097603D"/>
    <w:rsid w:val="00976949"/>
    <w:rsid w:val="00980477"/>
    <w:rsid w:val="0098518D"/>
    <w:rsid w:val="00985253"/>
    <w:rsid w:val="009853B3"/>
    <w:rsid w:val="00990630"/>
    <w:rsid w:val="00991761"/>
    <w:rsid w:val="00991AE2"/>
    <w:rsid w:val="00991D81"/>
    <w:rsid w:val="00994DCA"/>
    <w:rsid w:val="00995A58"/>
    <w:rsid w:val="009960EC"/>
    <w:rsid w:val="009970DD"/>
    <w:rsid w:val="009A0FBA"/>
    <w:rsid w:val="009A1601"/>
    <w:rsid w:val="009A3BB6"/>
    <w:rsid w:val="009A42C0"/>
    <w:rsid w:val="009A462D"/>
    <w:rsid w:val="009A5CBA"/>
    <w:rsid w:val="009A7E13"/>
    <w:rsid w:val="009B1F30"/>
    <w:rsid w:val="009B2BD4"/>
    <w:rsid w:val="009B3AC2"/>
    <w:rsid w:val="009B4DF4"/>
    <w:rsid w:val="009B564E"/>
    <w:rsid w:val="009B63B2"/>
    <w:rsid w:val="009B7E87"/>
    <w:rsid w:val="009C0169"/>
    <w:rsid w:val="009C403E"/>
    <w:rsid w:val="009D484E"/>
    <w:rsid w:val="009D4FF0"/>
    <w:rsid w:val="009D5791"/>
    <w:rsid w:val="009D703C"/>
    <w:rsid w:val="009D718F"/>
    <w:rsid w:val="009E068F"/>
    <w:rsid w:val="009E14E0"/>
    <w:rsid w:val="009E35DB"/>
    <w:rsid w:val="009E47A3"/>
    <w:rsid w:val="009F08F3"/>
    <w:rsid w:val="009F344F"/>
    <w:rsid w:val="009F3AE8"/>
    <w:rsid w:val="009F55FF"/>
    <w:rsid w:val="009F62E8"/>
    <w:rsid w:val="00A0212C"/>
    <w:rsid w:val="00A03143"/>
    <w:rsid w:val="00A031D8"/>
    <w:rsid w:val="00A048A8"/>
    <w:rsid w:val="00A04F49"/>
    <w:rsid w:val="00A10B77"/>
    <w:rsid w:val="00A13E54"/>
    <w:rsid w:val="00A16D3F"/>
    <w:rsid w:val="00A17F63"/>
    <w:rsid w:val="00A2193B"/>
    <w:rsid w:val="00A233F7"/>
    <w:rsid w:val="00A2351A"/>
    <w:rsid w:val="00A264A9"/>
    <w:rsid w:val="00A26DCF"/>
    <w:rsid w:val="00A27785"/>
    <w:rsid w:val="00A30187"/>
    <w:rsid w:val="00A3448A"/>
    <w:rsid w:val="00A36297"/>
    <w:rsid w:val="00A3729F"/>
    <w:rsid w:val="00A41D92"/>
    <w:rsid w:val="00A41E2B"/>
    <w:rsid w:val="00A445F1"/>
    <w:rsid w:val="00A45B74"/>
    <w:rsid w:val="00A52E1D"/>
    <w:rsid w:val="00A61499"/>
    <w:rsid w:val="00A62A77"/>
    <w:rsid w:val="00A63483"/>
    <w:rsid w:val="00A657D7"/>
    <w:rsid w:val="00A660AC"/>
    <w:rsid w:val="00A67E6C"/>
    <w:rsid w:val="00A71B99"/>
    <w:rsid w:val="00A739D0"/>
    <w:rsid w:val="00A76074"/>
    <w:rsid w:val="00A761D4"/>
    <w:rsid w:val="00A77EC4"/>
    <w:rsid w:val="00A92879"/>
    <w:rsid w:val="00A9442A"/>
    <w:rsid w:val="00AA016F"/>
    <w:rsid w:val="00AA02E3"/>
    <w:rsid w:val="00AA1ED6"/>
    <w:rsid w:val="00AA51D6"/>
    <w:rsid w:val="00AA6164"/>
    <w:rsid w:val="00AB0BC8"/>
    <w:rsid w:val="00AB11CA"/>
    <w:rsid w:val="00AB14D9"/>
    <w:rsid w:val="00AB4AB8"/>
    <w:rsid w:val="00AB5F2C"/>
    <w:rsid w:val="00AB655E"/>
    <w:rsid w:val="00AC007F"/>
    <w:rsid w:val="00AC111F"/>
    <w:rsid w:val="00AC2ECD"/>
    <w:rsid w:val="00AC3119"/>
    <w:rsid w:val="00AC49FB"/>
    <w:rsid w:val="00AC5A10"/>
    <w:rsid w:val="00AD0AA3"/>
    <w:rsid w:val="00AD1B41"/>
    <w:rsid w:val="00AD38DF"/>
    <w:rsid w:val="00AD3F94"/>
    <w:rsid w:val="00AD4A5A"/>
    <w:rsid w:val="00AD7874"/>
    <w:rsid w:val="00AE27AC"/>
    <w:rsid w:val="00AE40E0"/>
    <w:rsid w:val="00AE4DBA"/>
    <w:rsid w:val="00AE4F07"/>
    <w:rsid w:val="00AF0827"/>
    <w:rsid w:val="00AF17E3"/>
    <w:rsid w:val="00AF1C5D"/>
    <w:rsid w:val="00AF42D7"/>
    <w:rsid w:val="00AF6696"/>
    <w:rsid w:val="00B006FE"/>
    <w:rsid w:val="00B007CB"/>
    <w:rsid w:val="00B02AA9"/>
    <w:rsid w:val="00B02FA3"/>
    <w:rsid w:val="00B04FB9"/>
    <w:rsid w:val="00B05084"/>
    <w:rsid w:val="00B06A3A"/>
    <w:rsid w:val="00B157F9"/>
    <w:rsid w:val="00B172C0"/>
    <w:rsid w:val="00B20256"/>
    <w:rsid w:val="00B20D09"/>
    <w:rsid w:val="00B25721"/>
    <w:rsid w:val="00B2763F"/>
    <w:rsid w:val="00B27AAC"/>
    <w:rsid w:val="00B30227"/>
    <w:rsid w:val="00B30929"/>
    <w:rsid w:val="00B372AA"/>
    <w:rsid w:val="00B40445"/>
    <w:rsid w:val="00B409E0"/>
    <w:rsid w:val="00B41888"/>
    <w:rsid w:val="00B45A52"/>
    <w:rsid w:val="00B46175"/>
    <w:rsid w:val="00B508C4"/>
    <w:rsid w:val="00B5116B"/>
    <w:rsid w:val="00B548B7"/>
    <w:rsid w:val="00B624EF"/>
    <w:rsid w:val="00B63A6D"/>
    <w:rsid w:val="00B664C7"/>
    <w:rsid w:val="00B70421"/>
    <w:rsid w:val="00B739F6"/>
    <w:rsid w:val="00B764C6"/>
    <w:rsid w:val="00B77002"/>
    <w:rsid w:val="00B81A6C"/>
    <w:rsid w:val="00B85DE5"/>
    <w:rsid w:val="00B90F73"/>
    <w:rsid w:val="00B9351B"/>
    <w:rsid w:val="00B93B59"/>
    <w:rsid w:val="00B9406A"/>
    <w:rsid w:val="00BA2280"/>
    <w:rsid w:val="00BA2A08"/>
    <w:rsid w:val="00BA56D2"/>
    <w:rsid w:val="00BA76E0"/>
    <w:rsid w:val="00BB2A25"/>
    <w:rsid w:val="00BB51E9"/>
    <w:rsid w:val="00BB747C"/>
    <w:rsid w:val="00BC0FDC"/>
    <w:rsid w:val="00BC3053"/>
    <w:rsid w:val="00BC4D2E"/>
    <w:rsid w:val="00BD48AC"/>
    <w:rsid w:val="00BD5F1A"/>
    <w:rsid w:val="00BE1234"/>
    <w:rsid w:val="00BE2361"/>
    <w:rsid w:val="00BE2FA6"/>
    <w:rsid w:val="00BE333F"/>
    <w:rsid w:val="00BE7406"/>
    <w:rsid w:val="00BE7603"/>
    <w:rsid w:val="00BF3279"/>
    <w:rsid w:val="00BF74C7"/>
    <w:rsid w:val="00C01487"/>
    <w:rsid w:val="00C015F1"/>
    <w:rsid w:val="00C01F33"/>
    <w:rsid w:val="00C02CC6"/>
    <w:rsid w:val="00C040F7"/>
    <w:rsid w:val="00C044AB"/>
    <w:rsid w:val="00C05706"/>
    <w:rsid w:val="00C07377"/>
    <w:rsid w:val="00C10478"/>
    <w:rsid w:val="00C12107"/>
    <w:rsid w:val="00C14D4B"/>
    <w:rsid w:val="00C154BB"/>
    <w:rsid w:val="00C1748C"/>
    <w:rsid w:val="00C24BC5"/>
    <w:rsid w:val="00C268E6"/>
    <w:rsid w:val="00C279B5"/>
    <w:rsid w:val="00C27C45"/>
    <w:rsid w:val="00C3295C"/>
    <w:rsid w:val="00C36DA8"/>
    <w:rsid w:val="00C3719D"/>
    <w:rsid w:val="00C37CB2"/>
    <w:rsid w:val="00C473A5"/>
    <w:rsid w:val="00C53837"/>
    <w:rsid w:val="00C54995"/>
    <w:rsid w:val="00C54D41"/>
    <w:rsid w:val="00C60783"/>
    <w:rsid w:val="00C64672"/>
    <w:rsid w:val="00C70697"/>
    <w:rsid w:val="00C72093"/>
    <w:rsid w:val="00C72EF4"/>
    <w:rsid w:val="00C73426"/>
    <w:rsid w:val="00C744FE"/>
    <w:rsid w:val="00C75D2F"/>
    <w:rsid w:val="00C767BE"/>
    <w:rsid w:val="00C76E3C"/>
    <w:rsid w:val="00C81568"/>
    <w:rsid w:val="00C9027A"/>
    <w:rsid w:val="00C9068E"/>
    <w:rsid w:val="00C93814"/>
    <w:rsid w:val="00C93C4B"/>
    <w:rsid w:val="00C944AB"/>
    <w:rsid w:val="00C9586E"/>
    <w:rsid w:val="00C95B40"/>
    <w:rsid w:val="00CA1ED8"/>
    <w:rsid w:val="00CA5B56"/>
    <w:rsid w:val="00CB0B46"/>
    <w:rsid w:val="00CB1F63"/>
    <w:rsid w:val="00CB3A67"/>
    <w:rsid w:val="00CB7170"/>
    <w:rsid w:val="00CC040E"/>
    <w:rsid w:val="00CC111F"/>
    <w:rsid w:val="00CC2011"/>
    <w:rsid w:val="00CC3EA0"/>
    <w:rsid w:val="00CC7B45"/>
    <w:rsid w:val="00CD1188"/>
    <w:rsid w:val="00CD2ED1"/>
    <w:rsid w:val="00CD337B"/>
    <w:rsid w:val="00CD782D"/>
    <w:rsid w:val="00CE0424"/>
    <w:rsid w:val="00CE706A"/>
    <w:rsid w:val="00CE7561"/>
    <w:rsid w:val="00CF1354"/>
    <w:rsid w:val="00CF161D"/>
    <w:rsid w:val="00CF3B1F"/>
    <w:rsid w:val="00CF3BF6"/>
    <w:rsid w:val="00CF4727"/>
    <w:rsid w:val="00CF625B"/>
    <w:rsid w:val="00CF687E"/>
    <w:rsid w:val="00D006B4"/>
    <w:rsid w:val="00D0349B"/>
    <w:rsid w:val="00D05A35"/>
    <w:rsid w:val="00D06D53"/>
    <w:rsid w:val="00D10249"/>
    <w:rsid w:val="00D115C3"/>
    <w:rsid w:val="00D11897"/>
    <w:rsid w:val="00D13135"/>
    <w:rsid w:val="00D13E4E"/>
    <w:rsid w:val="00D239A7"/>
    <w:rsid w:val="00D23A7C"/>
    <w:rsid w:val="00D23F47"/>
    <w:rsid w:val="00D36E71"/>
    <w:rsid w:val="00D37D87"/>
    <w:rsid w:val="00D40B33"/>
    <w:rsid w:val="00D4185F"/>
    <w:rsid w:val="00D4318F"/>
    <w:rsid w:val="00D438BF"/>
    <w:rsid w:val="00D440F8"/>
    <w:rsid w:val="00D546FF"/>
    <w:rsid w:val="00D55AD5"/>
    <w:rsid w:val="00D576CA"/>
    <w:rsid w:val="00D57BFF"/>
    <w:rsid w:val="00D6037E"/>
    <w:rsid w:val="00D61AF5"/>
    <w:rsid w:val="00D652B5"/>
    <w:rsid w:val="00D66155"/>
    <w:rsid w:val="00D708B0"/>
    <w:rsid w:val="00D72AFA"/>
    <w:rsid w:val="00D75B73"/>
    <w:rsid w:val="00D77B1D"/>
    <w:rsid w:val="00D77B9D"/>
    <w:rsid w:val="00D8021F"/>
    <w:rsid w:val="00D80383"/>
    <w:rsid w:val="00D823C6"/>
    <w:rsid w:val="00D82EFD"/>
    <w:rsid w:val="00D8327F"/>
    <w:rsid w:val="00D83914"/>
    <w:rsid w:val="00D86CA3"/>
    <w:rsid w:val="00D871CE"/>
    <w:rsid w:val="00D9196D"/>
    <w:rsid w:val="00D92982"/>
    <w:rsid w:val="00DA0078"/>
    <w:rsid w:val="00DA305E"/>
    <w:rsid w:val="00DA36A5"/>
    <w:rsid w:val="00DA5417"/>
    <w:rsid w:val="00DA5690"/>
    <w:rsid w:val="00DA56E8"/>
    <w:rsid w:val="00DB0A9F"/>
    <w:rsid w:val="00DB146E"/>
    <w:rsid w:val="00DB377D"/>
    <w:rsid w:val="00DC2D36"/>
    <w:rsid w:val="00DC53EF"/>
    <w:rsid w:val="00DC69F1"/>
    <w:rsid w:val="00DD33F7"/>
    <w:rsid w:val="00DE52B3"/>
    <w:rsid w:val="00DE5608"/>
    <w:rsid w:val="00DE58D0"/>
    <w:rsid w:val="00DE654F"/>
    <w:rsid w:val="00DF0B6E"/>
    <w:rsid w:val="00DF15E0"/>
    <w:rsid w:val="00DF291B"/>
    <w:rsid w:val="00DF37A0"/>
    <w:rsid w:val="00DF66E1"/>
    <w:rsid w:val="00E053FB"/>
    <w:rsid w:val="00E079B9"/>
    <w:rsid w:val="00E110E7"/>
    <w:rsid w:val="00E11B20"/>
    <w:rsid w:val="00E17FA2"/>
    <w:rsid w:val="00E22330"/>
    <w:rsid w:val="00E25183"/>
    <w:rsid w:val="00E30B5A"/>
    <w:rsid w:val="00E3123D"/>
    <w:rsid w:val="00E31461"/>
    <w:rsid w:val="00E31D43"/>
    <w:rsid w:val="00E32608"/>
    <w:rsid w:val="00E34188"/>
    <w:rsid w:val="00E34B6E"/>
    <w:rsid w:val="00E35559"/>
    <w:rsid w:val="00E3723A"/>
    <w:rsid w:val="00E37860"/>
    <w:rsid w:val="00E414B9"/>
    <w:rsid w:val="00E414D0"/>
    <w:rsid w:val="00E446F1"/>
    <w:rsid w:val="00E46886"/>
    <w:rsid w:val="00E47AEF"/>
    <w:rsid w:val="00E53B75"/>
    <w:rsid w:val="00E54E3B"/>
    <w:rsid w:val="00E57565"/>
    <w:rsid w:val="00E63838"/>
    <w:rsid w:val="00E64434"/>
    <w:rsid w:val="00E66A37"/>
    <w:rsid w:val="00E67314"/>
    <w:rsid w:val="00E67C51"/>
    <w:rsid w:val="00E72EFC"/>
    <w:rsid w:val="00E758EC"/>
    <w:rsid w:val="00E8234C"/>
    <w:rsid w:val="00E83AA9"/>
    <w:rsid w:val="00E85928"/>
    <w:rsid w:val="00E87822"/>
    <w:rsid w:val="00E90395"/>
    <w:rsid w:val="00E90E49"/>
    <w:rsid w:val="00E917F9"/>
    <w:rsid w:val="00E927FD"/>
    <w:rsid w:val="00E9291C"/>
    <w:rsid w:val="00E93FFE"/>
    <w:rsid w:val="00E94F8A"/>
    <w:rsid w:val="00EA2EA9"/>
    <w:rsid w:val="00EA2FE6"/>
    <w:rsid w:val="00EA3BEE"/>
    <w:rsid w:val="00EA5D56"/>
    <w:rsid w:val="00EA6614"/>
    <w:rsid w:val="00EA7A41"/>
    <w:rsid w:val="00EB077B"/>
    <w:rsid w:val="00EB09A2"/>
    <w:rsid w:val="00EB4EA2"/>
    <w:rsid w:val="00EC24D5"/>
    <w:rsid w:val="00EC27C6"/>
    <w:rsid w:val="00EC4207"/>
    <w:rsid w:val="00EC5653"/>
    <w:rsid w:val="00EC71CE"/>
    <w:rsid w:val="00ED1006"/>
    <w:rsid w:val="00ED2BD9"/>
    <w:rsid w:val="00EE494B"/>
    <w:rsid w:val="00EF18FE"/>
    <w:rsid w:val="00EF29F2"/>
    <w:rsid w:val="00EF2D66"/>
    <w:rsid w:val="00EF5787"/>
    <w:rsid w:val="00EF60D0"/>
    <w:rsid w:val="00F0528D"/>
    <w:rsid w:val="00F05861"/>
    <w:rsid w:val="00F06C67"/>
    <w:rsid w:val="00F06DFD"/>
    <w:rsid w:val="00F071D1"/>
    <w:rsid w:val="00F07533"/>
    <w:rsid w:val="00F10629"/>
    <w:rsid w:val="00F15FA5"/>
    <w:rsid w:val="00F209B7"/>
    <w:rsid w:val="00F20F5C"/>
    <w:rsid w:val="00F2376F"/>
    <w:rsid w:val="00F243D8"/>
    <w:rsid w:val="00F245A4"/>
    <w:rsid w:val="00F30828"/>
    <w:rsid w:val="00F313D6"/>
    <w:rsid w:val="00F33209"/>
    <w:rsid w:val="00F40F0C"/>
    <w:rsid w:val="00F439D3"/>
    <w:rsid w:val="00F4766C"/>
    <w:rsid w:val="00F5060E"/>
    <w:rsid w:val="00F507D1"/>
    <w:rsid w:val="00F50859"/>
    <w:rsid w:val="00F519CE"/>
    <w:rsid w:val="00F51ADA"/>
    <w:rsid w:val="00F55CE6"/>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5FB"/>
    <w:rsid w:val="00FB6A6A"/>
    <w:rsid w:val="00FB7753"/>
    <w:rsid w:val="00FC7429"/>
    <w:rsid w:val="00FD07F6"/>
    <w:rsid w:val="00FD1EC8"/>
    <w:rsid w:val="00FD2D9B"/>
    <w:rsid w:val="00FD47ED"/>
    <w:rsid w:val="00FD74DB"/>
    <w:rsid w:val="00FD7660"/>
    <w:rsid w:val="00FE0655"/>
    <w:rsid w:val="00FE2365"/>
    <w:rsid w:val="00FE37D7"/>
    <w:rsid w:val="00FE4C7B"/>
    <w:rsid w:val="00FE7336"/>
    <w:rsid w:val="00FE787C"/>
    <w:rsid w:val="00FF0F88"/>
    <w:rsid w:val="00FF3F9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8E239A63-5A99-4F08-8164-7AB013CFE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EmailDiscussion2">
    <w:name w:val="EmailDiscussion2"/>
    <w:basedOn w:val="Doc-text2"/>
    <w:uiPriority w:val="99"/>
    <w:qFormat/>
    <w:rsid w:val="007D4174"/>
    <w:pPr>
      <w:overflowPunct/>
      <w:autoSpaceDE/>
      <w:autoSpaceDN/>
      <w:adjustRightInd/>
      <w:textAlignment w:val="auto"/>
    </w:pPr>
    <w:rPr>
      <w:lang w:val="en-GB" w:eastAsia="en-GB"/>
    </w:rPr>
  </w:style>
  <w:style w:type="character" w:customStyle="1" w:styleId="EmailDiscussionChar">
    <w:name w:val="EmailDiscussion Char"/>
    <w:link w:val="EmailDiscussion"/>
    <w:qFormat/>
    <w:rsid w:val="007D4174"/>
    <w:rPr>
      <w:rFonts w:ascii="Arial" w:eastAsia="MS Mincho" w:hAnsi="Arial"/>
      <w:b/>
      <w:szCs w:val="24"/>
    </w:rPr>
  </w:style>
  <w:style w:type="paragraph" w:customStyle="1" w:styleId="Agreement">
    <w:name w:val="Agreement"/>
    <w:basedOn w:val="Normal"/>
    <w:next w:val="Doc-text2"/>
    <w:qFormat/>
    <w:rsid w:val="009F55FF"/>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sid w:val="00924FCF"/>
    <w:rPr>
      <w:rFonts w:ascii="Times New Roman" w:hAnsi="Times New Roman"/>
      <w:b/>
    </w:rPr>
  </w:style>
  <w:style w:type="paragraph" w:styleId="Revision">
    <w:name w:val="Revision"/>
    <w:hidden/>
    <w:uiPriority w:val="99"/>
    <w:semiHidden/>
    <w:rsid w:val="00970ACB"/>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1315</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8800</CharactersWithSpaces>
  <SharedDoc>false</SharedDoc>
  <HyperlinkBase/>
  <HLinks>
    <vt:vector size="48" baseType="variant">
      <vt:variant>
        <vt:i4>1900596</vt:i4>
      </vt:variant>
      <vt:variant>
        <vt:i4>29</vt:i4>
      </vt:variant>
      <vt:variant>
        <vt:i4>0</vt:i4>
      </vt:variant>
      <vt:variant>
        <vt:i4>5</vt:i4>
      </vt:variant>
      <vt:variant>
        <vt:lpwstr/>
      </vt:variant>
      <vt:variant>
        <vt:lpwstr>_Toc126850608</vt:lpwstr>
      </vt:variant>
      <vt:variant>
        <vt:i4>1900596</vt:i4>
      </vt:variant>
      <vt:variant>
        <vt:i4>26</vt:i4>
      </vt:variant>
      <vt:variant>
        <vt:i4>0</vt:i4>
      </vt:variant>
      <vt:variant>
        <vt:i4>5</vt:i4>
      </vt:variant>
      <vt:variant>
        <vt:lpwstr/>
      </vt:variant>
      <vt:variant>
        <vt:lpwstr>_Toc126850607</vt:lpwstr>
      </vt:variant>
      <vt:variant>
        <vt:i4>1900596</vt:i4>
      </vt:variant>
      <vt:variant>
        <vt:i4>23</vt:i4>
      </vt:variant>
      <vt:variant>
        <vt:i4>0</vt:i4>
      </vt:variant>
      <vt:variant>
        <vt:i4>5</vt:i4>
      </vt:variant>
      <vt:variant>
        <vt:lpwstr/>
      </vt:variant>
      <vt:variant>
        <vt:lpwstr>_Toc126850606</vt:lpwstr>
      </vt:variant>
      <vt:variant>
        <vt:i4>1900596</vt:i4>
      </vt:variant>
      <vt:variant>
        <vt:i4>20</vt:i4>
      </vt:variant>
      <vt:variant>
        <vt:i4>0</vt:i4>
      </vt:variant>
      <vt:variant>
        <vt:i4>5</vt:i4>
      </vt:variant>
      <vt:variant>
        <vt:lpwstr/>
      </vt:variant>
      <vt:variant>
        <vt:lpwstr>_Toc126850605</vt:lpwstr>
      </vt:variant>
      <vt:variant>
        <vt:i4>1900596</vt:i4>
      </vt:variant>
      <vt:variant>
        <vt:i4>14</vt:i4>
      </vt:variant>
      <vt:variant>
        <vt:i4>0</vt:i4>
      </vt:variant>
      <vt:variant>
        <vt:i4>5</vt:i4>
      </vt:variant>
      <vt:variant>
        <vt:lpwstr/>
      </vt:variant>
      <vt:variant>
        <vt:lpwstr>_Toc126850602</vt:lpwstr>
      </vt:variant>
      <vt:variant>
        <vt:i4>1900596</vt:i4>
      </vt:variant>
      <vt:variant>
        <vt:i4>11</vt:i4>
      </vt:variant>
      <vt:variant>
        <vt:i4>0</vt:i4>
      </vt:variant>
      <vt:variant>
        <vt:i4>5</vt:i4>
      </vt:variant>
      <vt:variant>
        <vt:lpwstr/>
      </vt:variant>
      <vt:variant>
        <vt:lpwstr>_Toc126850601</vt:lpwstr>
      </vt:variant>
      <vt:variant>
        <vt:i4>1900596</vt:i4>
      </vt:variant>
      <vt:variant>
        <vt:i4>8</vt:i4>
      </vt:variant>
      <vt:variant>
        <vt:i4>0</vt:i4>
      </vt:variant>
      <vt:variant>
        <vt:i4>5</vt:i4>
      </vt:variant>
      <vt:variant>
        <vt:lpwstr/>
      </vt:variant>
      <vt:variant>
        <vt:lpwstr>_Toc126850600</vt:lpwstr>
      </vt:variant>
      <vt:variant>
        <vt:i4>1310775</vt:i4>
      </vt:variant>
      <vt:variant>
        <vt:i4>5</vt:i4>
      </vt:variant>
      <vt:variant>
        <vt:i4>0</vt:i4>
      </vt:variant>
      <vt:variant>
        <vt:i4>5</vt:i4>
      </vt:variant>
      <vt:variant>
        <vt:lpwstr/>
      </vt:variant>
      <vt:variant>
        <vt:lpwstr>_Toc126850599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Ericsson(Min)</cp:lastModifiedBy>
  <cp:revision>2</cp:revision>
  <cp:lastPrinted>2008-01-31T16:09:00Z</cp:lastPrinted>
  <dcterms:created xsi:type="dcterms:W3CDTF">2023-02-16T10:37:00Z</dcterms:created>
  <dcterms:modified xsi:type="dcterms:W3CDTF">2023-02-16T10:37:00Z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